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5A" w:rsidRPr="001F495A" w:rsidRDefault="001F495A" w:rsidP="001F495A">
      <w:pPr>
        <w:shd w:val="clear" w:color="auto" w:fill="DFE8ED"/>
        <w:spacing w:after="0" w:line="240" w:lineRule="auto"/>
        <w:textAlignment w:val="top"/>
        <w:rPr>
          <w:rFonts w:ascii="Tahoma" w:eastAsia="Times New Roman" w:hAnsi="Tahoma" w:cs="Tahoma"/>
          <w:b/>
          <w:bCs/>
          <w:color w:val="4F81BD"/>
          <w:sz w:val="20"/>
          <w:szCs w:val="20"/>
          <w:lang w:eastAsia="pt-BR"/>
        </w:rPr>
      </w:pPr>
      <w:r w:rsidRPr="001F495A">
        <w:rPr>
          <w:rFonts w:ascii="Tahoma" w:eastAsia="Times New Roman" w:hAnsi="Tahoma" w:cs="Tahoma"/>
          <w:b/>
          <w:bCs/>
          <w:color w:val="4F81BD"/>
          <w:sz w:val="20"/>
          <w:szCs w:val="20"/>
          <w:lang w:eastAsia="pt-BR"/>
        </w:rPr>
        <w:t>Súmula 347</w:t>
      </w:r>
    </w:p>
    <w:p w:rsidR="001F495A" w:rsidRDefault="001F495A" w:rsidP="001F495A">
      <w:pPr>
        <w:shd w:val="clear" w:color="auto" w:fill="FFFFFF"/>
        <w:spacing w:line="240" w:lineRule="auto"/>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t>O Tribunal de Contas, no exercício de suas atribuições, pode apreciar a constitucionalidade das leis e dos atos do Poder Público.</w:t>
      </w:r>
    </w:p>
    <w:p w:rsidR="001F495A" w:rsidRPr="001F495A" w:rsidRDefault="001F495A" w:rsidP="001F495A">
      <w:pPr>
        <w:shd w:val="clear" w:color="auto" w:fill="FFFFFF"/>
        <w:spacing w:line="240" w:lineRule="auto"/>
        <w:textAlignment w:val="top"/>
        <w:rPr>
          <w:rFonts w:ascii="Tahoma" w:eastAsia="Times New Roman" w:hAnsi="Tahoma" w:cs="Tahoma"/>
          <w:color w:val="385260"/>
          <w:sz w:val="24"/>
          <w:szCs w:val="24"/>
          <w:lang w:eastAsia="pt-BR"/>
        </w:rPr>
      </w:pPr>
    </w:p>
    <w:p w:rsidR="001F495A" w:rsidRDefault="001F495A" w:rsidP="001F495A">
      <w:pPr>
        <w:shd w:val="clear" w:color="auto" w:fill="DFE8ED"/>
        <w:spacing w:after="0" w:line="240" w:lineRule="auto"/>
        <w:textAlignment w:val="top"/>
        <w:rPr>
          <w:rFonts w:ascii="Tahoma" w:eastAsia="Times New Roman" w:hAnsi="Tahoma" w:cs="Tahoma"/>
          <w:b/>
          <w:bCs/>
          <w:color w:val="4F81BD"/>
          <w:sz w:val="20"/>
          <w:szCs w:val="20"/>
          <w:lang w:eastAsia="pt-BR"/>
        </w:rPr>
      </w:pPr>
      <w:bookmarkStart w:id="0" w:name="2150"/>
      <w:bookmarkEnd w:id="0"/>
      <w:r w:rsidRPr="001F495A">
        <w:rPr>
          <w:rFonts w:ascii="Tahoma" w:eastAsia="Times New Roman" w:hAnsi="Tahoma" w:cs="Tahoma"/>
          <w:b/>
          <w:bCs/>
          <w:color w:val="4F81BD"/>
          <w:sz w:val="20"/>
          <w:szCs w:val="20"/>
          <w:lang w:eastAsia="pt-BR"/>
        </w:rPr>
        <w:t>Jurisprudência selecionada</w:t>
      </w:r>
    </w:p>
    <w:p w:rsidR="001F495A" w:rsidRPr="001F495A" w:rsidRDefault="001F495A" w:rsidP="001F495A">
      <w:pPr>
        <w:shd w:val="clear" w:color="auto" w:fill="DFE8ED"/>
        <w:spacing w:after="0" w:line="240" w:lineRule="auto"/>
        <w:textAlignment w:val="top"/>
        <w:rPr>
          <w:rFonts w:ascii="Tahoma" w:eastAsia="Times New Roman" w:hAnsi="Tahoma" w:cs="Tahoma"/>
          <w:b/>
          <w:bCs/>
          <w:color w:val="4F81BD"/>
          <w:sz w:val="20"/>
          <w:szCs w:val="20"/>
          <w:lang w:eastAsia="pt-BR"/>
        </w:rPr>
      </w:pPr>
    </w:p>
    <w:p w:rsidR="001F495A" w:rsidRDefault="001F495A" w:rsidP="001F495A">
      <w:pPr>
        <w:shd w:val="clear" w:color="auto" w:fill="FFFFFF"/>
        <w:spacing w:line="240" w:lineRule="auto"/>
        <w:jc w:val="both"/>
        <w:textAlignment w:val="top"/>
        <w:rPr>
          <w:rFonts w:ascii="Tahoma" w:eastAsia="Times New Roman" w:hAnsi="Tahoma" w:cs="Tahoma"/>
          <w:b/>
          <w:bCs/>
          <w:color w:val="385260"/>
          <w:sz w:val="24"/>
          <w:szCs w:val="24"/>
          <w:lang w:eastAsia="pt-BR"/>
        </w:rPr>
      </w:pPr>
      <w:r w:rsidRPr="001F495A">
        <w:rPr>
          <w:rFonts w:ascii="Tahoma" w:eastAsia="Times New Roman" w:hAnsi="Tahoma" w:cs="Tahoma"/>
          <w:b/>
          <w:bCs/>
          <w:color w:val="385260"/>
          <w:sz w:val="24"/>
          <w:szCs w:val="24"/>
          <w:lang w:eastAsia="pt-BR"/>
        </w:rPr>
        <w:t>● Controle de constitucionalidade e Tribunal de Contas</w:t>
      </w:r>
    </w:p>
    <w:p w:rsid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t xml:space="preserve">2. Descabe a atuação precária e efêmera afastando do cenário jurídico o que assentado pelo Tribunal de Contas da União. A questão alusiva à possibilidade de este último deixar de observar, ante a óptica da inconstitucionalidade, certo ato normativo há de ser apreciada em definitivo pelo Colegiado, </w:t>
      </w:r>
      <w:r w:rsidRPr="001F495A">
        <w:rPr>
          <w:rFonts w:ascii="Tahoma" w:eastAsia="Times New Roman" w:hAnsi="Tahoma" w:cs="Tahoma"/>
          <w:color w:val="385260"/>
          <w:sz w:val="24"/>
          <w:szCs w:val="24"/>
          <w:highlight w:val="yellow"/>
          <w:lang w:eastAsia="pt-BR"/>
        </w:rPr>
        <w:t>prevalecendo, até aqui, porque não revogado, o</w:t>
      </w:r>
      <w:hyperlink r:id="rId5" w:history="1">
        <w:r w:rsidRPr="001F495A">
          <w:rPr>
            <w:rFonts w:ascii="Tahoma" w:eastAsia="Times New Roman" w:hAnsi="Tahoma" w:cs="Tahoma"/>
            <w:color w:val="066194"/>
            <w:sz w:val="24"/>
            <w:szCs w:val="24"/>
            <w:highlight w:val="yellow"/>
            <w:u w:val="single"/>
            <w:lang w:eastAsia="pt-BR"/>
          </w:rPr>
          <w:t> Verbete 347</w:t>
        </w:r>
      </w:hyperlink>
      <w:r w:rsidRPr="001F495A">
        <w:rPr>
          <w:rFonts w:ascii="Tahoma" w:eastAsia="Times New Roman" w:hAnsi="Tahoma" w:cs="Tahoma"/>
          <w:color w:val="385260"/>
          <w:sz w:val="24"/>
          <w:szCs w:val="24"/>
          <w:highlight w:val="yellow"/>
          <w:lang w:eastAsia="pt-BR"/>
        </w:rPr>
        <w:t> da Súmula do Supremo</w:t>
      </w:r>
      <w:r w:rsidRPr="001F495A">
        <w:rPr>
          <w:rFonts w:ascii="Tahoma" w:eastAsia="Times New Roman" w:hAnsi="Tahoma" w:cs="Tahoma"/>
          <w:color w:val="385260"/>
          <w:sz w:val="24"/>
          <w:szCs w:val="24"/>
          <w:lang w:eastAsia="pt-BR"/>
        </w:rPr>
        <w:t>. De início, a atuação do Tribunal de Contas se fez considerado o arcabouço normativo constitucional.</w:t>
      </w:r>
    </w:p>
    <w:p w:rsid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t>[</w:t>
      </w:r>
      <w:r>
        <w:rPr>
          <w:rFonts w:ascii="Tahoma" w:eastAsia="Times New Roman" w:hAnsi="Tahoma" w:cs="Tahoma"/>
          <w:color w:val="385260"/>
          <w:sz w:val="24"/>
          <w:szCs w:val="24"/>
          <w:lang w:eastAsia="pt-BR"/>
        </w:rPr>
        <w:t xml:space="preserve">STF - </w:t>
      </w:r>
      <w:hyperlink r:id="rId6" w:history="1">
        <w:r w:rsidRPr="001F495A">
          <w:rPr>
            <w:rFonts w:ascii="Tahoma" w:eastAsia="Times New Roman" w:hAnsi="Tahoma" w:cs="Tahoma"/>
            <w:color w:val="066194"/>
            <w:sz w:val="24"/>
            <w:szCs w:val="24"/>
            <w:u w:val="single"/>
            <w:lang w:eastAsia="pt-BR"/>
          </w:rPr>
          <w:t>MS 31.439 MC</w:t>
        </w:r>
      </w:hyperlink>
      <w:r w:rsidRPr="001F495A">
        <w:rPr>
          <w:rFonts w:ascii="Tahoma" w:eastAsia="Times New Roman" w:hAnsi="Tahoma" w:cs="Tahoma"/>
          <w:color w:val="385260"/>
          <w:sz w:val="24"/>
          <w:szCs w:val="24"/>
          <w:lang w:eastAsia="pt-BR"/>
        </w:rPr>
        <w:t>, rel. min. </w:t>
      </w:r>
      <w:r w:rsidRPr="001F495A">
        <w:rPr>
          <w:rFonts w:ascii="Tahoma" w:eastAsia="Times New Roman" w:hAnsi="Tahoma" w:cs="Tahoma"/>
          <w:b/>
          <w:bCs/>
          <w:color w:val="385260"/>
          <w:sz w:val="24"/>
          <w:szCs w:val="24"/>
          <w:lang w:eastAsia="pt-BR"/>
        </w:rPr>
        <w:t>Marco Aurélio</w:t>
      </w:r>
      <w:r w:rsidRPr="001F495A">
        <w:rPr>
          <w:rFonts w:ascii="Tahoma" w:eastAsia="Times New Roman" w:hAnsi="Tahoma" w:cs="Tahoma"/>
          <w:color w:val="385260"/>
          <w:sz w:val="24"/>
          <w:szCs w:val="24"/>
          <w:lang w:eastAsia="pt-BR"/>
        </w:rPr>
        <w:t>, dec. monocrática, j. 19-7-2012, </w:t>
      </w:r>
      <w:r w:rsidRPr="001F495A">
        <w:rPr>
          <w:rFonts w:ascii="Tahoma" w:eastAsia="Times New Roman" w:hAnsi="Tahoma" w:cs="Tahoma"/>
          <w:i/>
          <w:iCs/>
          <w:color w:val="385260"/>
          <w:sz w:val="24"/>
          <w:szCs w:val="24"/>
          <w:lang w:eastAsia="pt-BR"/>
        </w:rPr>
        <w:t>DJE</w:t>
      </w:r>
      <w:r w:rsidRPr="001F495A">
        <w:rPr>
          <w:rFonts w:ascii="Tahoma" w:eastAsia="Times New Roman" w:hAnsi="Tahoma" w:cs="Tahoma"/>
          <w:color w:val="385260"/>
          <w:sz w:val="24"/>
          <w:szCs w:val="24"/>
          <w:lang w:eastAsia="pt-BR"/>
        </w:rPr>
        <w:t xml:space="preserve"> 154 de </w:t>
      </w:r>
      <w:r w:rsidRPr="001F495A">
        <w:rPr>
          <w:rFonts w:ascii="Tahoma" w:eastAsia="Times New Roman" w:hAnsi="Tahoma" w:cs="Tahoma"/>
          <w:color w:val="385260"/>
          <w:sz w:val="24"/>
          <w:szCs w:val="24"/>
          <w:highlight w:val="yellow"/>
          <w:lang w:eastAsia="pt-BR"/>
        </w:rPr>
        <w:t>7-8-2012</w:t>
      </w:r>
      <w:r w:rsidRPr="001F495A">
        <w:rPr>
          <w:rFonts w:ascii="Tahoma" w:eastAsia="Times New Roman" w:hAnsi="Tahoma" w:cs="Tahoma"/>
          <w:color w:val="385260"/>
          <w:sz w:val="24"/>
          <w:szCs w:val="24"/>
          <w:lang w:eastAsia="pt-BR"/>
        </w:rPr>
        <w:t>.</w:t>
      </w:r>
      <w:proofErr w:type="gramStart"/>
      <w:r w:rsidRPr="001F495A">
        <w:rPr>
          <w:rFonts w:ascii="Tahoma" w:eastAsia="Times New Roman" w:hAnsi="Tahoma" w:cs="Tahoma"/>
          <w:color w:val="385260"/>
          <w:sz w:val="24"/>
          <w:szCs w:val="24"/>
          <w:lang w:eastAsia="pt-BR"/>
        </w:rPr>
        <w:t>]</w:t>
      </w:r>
      <w:proofErr w:type="gramEnd"/>
    </w:p>
    <w:p w:rsid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r>
      <w:r w:rsidRPr="001F495A">
        <w:rPr>
          <w:rFonts w:ascii="Tahoma" w:eastAsia="Times New Roman" w:hAnsi="Tahoma" w:cs="Tahoma"/>
          <w:color w:val="385260"/>
          <w:sz w:val="24"/>
          <w:szCs w:val="24"/>
          <w:lang w:eastAsia="pt-BR"/>
        </w:rPr>
        <w:br/>
        <w:t>Assim, a declaração de inconstitucionalidade, pelo Tribunal de Contas da União, do art. 67 da </w:t>
      </w:r>
      <w:hyperlink r:id="rId7" w:history="1">
        <w:r w:rsidRPr="001F495A">
          <w:rPr>
            <w:rFonts w:ascii="Tahoma" w:eastAsia="Times New Roman" w:hAnsi="Tahoma" w:cs="Tahoma"/>
            <w:color w:val="066194"/>
            <w:sz w:val="24"/>
            <w:szCs w:val="24"/>
            <w:u w:val="single"/>
            <w:lang w:eastAsia="pt-BR"/>
          </w:rPr>
          <w:t>Lei 9.478/1997</w:t>
        </w:r>
      </w:hyperlink>
      <w:r w:rsidRPr="001F495A">
        <w:rPr>
          <w:rFonts w:ascii="Tahoma" w:eastAsia="Times New Roman" w:hAnsi="Tahoma" w:cs="Tahoma"/>
          <w:color w:val="385260"/>
          <w:sz w:val="24"/>
          <w:szCs w:val="24"/>
          <w:lang w:eastAsia="pt-BR"/>
        </w:rPr>
        <w:t>, e do </w:t>
      </w:r>
      <w:hyperlink r:id="rId8" w:history="1">
        <w:r w:rsidRPr="001F495A">
          <w:rPr>
            <w:rFonts w:ascii="Tahoma" w:eastAsia="Times New Roman" w:hAnsi="Tahoma" w:cs="Tahoma"/>
            <w:color w:val="066194"/>
            <w:sz w:val="24"/>
            <w:szCs w:val="24"/>
            <w:u w:val="single"/>
            <w:lang w:eastAsia="pt-BR"/>
          </w:rPr>
          <w:t>Decreto 2.745/1998</w:t>
        </w:r>
      </w:hyperlink>
      <w:r w:rsidRPr="001F495A">
        <w:rPr>
          <w:rFonts w:ascii="Tahoma" w:eastAsia="Times New Roman" w:hAnsi="Tahoma" w:cs="Tahoma"/>
          <w:color w:val="385260"/>
          <w:sz w:val="24"/>
          <w:szCs w:val="24"/>
          <w:lang w:eastAsia="pt-BR"/>
        </w:rPr>
        <w:t xml:space="preserve">, obrigando a Petrobrás, </w:t>
      </w:r>
      <w:proofErr w:type="spellStart"/>
      <w:r w:rsidRPr="001F495A">
        <w:rPr>
          <w:rFonts w:ascii="Tahoma" w:eastAsia="Times New Roman" w:hAnsi="Tahoma" w:cs="Tahoma"/>
          <w:color w:val="385260"/>
          <w:sz w:val="24"/>
          <w:szCs w:val="24"/>
          <w:lang w:eastAsia="pt-BR"/>
        </w:rPr>
        <w:t>conseqüentemente</w:t>
      </w:r>
      <w:proofErr w:type="spellEnd"/>
      <w:r w:rsidRPr="001F495A">
        <w:rPr>
          <w:rFonts w:ascii="Tahoma" w:eastAsia="Times New Roman" w:hAnsi="Tahoma" w:cs="Tahoma"/>
          <w:color w:val="385260"/>
          <w:sz w:val="24"/>
          <w:szCs w:val="24"/>
          <w:lang w:eastAsia="pt-BR"/>
        </w:rPr>
        <w:t>, a cumprir as exigências da</w:t>
      </w:r>
      <w:hyperlink r:id="rId9" w:history="1">
        <w:r w:rsidRPr="001F495A">
          <w:rPr>
            <w:rFonts w:ascii="Tahoma" w:eastAsia="Times New Roman" w:hAnsi="Tahoma" w:cs="Tahoma"/>
            <w:color w:val="066194"/>
            <w:sz w:val="24"/>
            <w:szCs w:val="24"/>
            <w:u w:val="single"/>
            <w:lang w:eastAsia="pt-BR"/>
          </w:rPr>
          <w:t> Lei 8.666/1993</w:t>
        </w:r>
      </w:hyperlink>
      <w:r w:rsidRPr="001F495A">
        <w:rPr>
          <w:rFonts w:ascii="Tahoma" w:eastAsia="Times New Roman" w:hAnsi="Tahoma" w:cs="Tahoma"/>
          <w:color w:val="385260"/>
          <w:sz w:val="24"/>
          <w:szCs w:val="24"/>
          <w:lang w:eastAsia="pt-BR"/>
        </w:rPr>
        <w:t>, parece estar em confronto com normas constitucionais, mormente as que traduzem o princípio da legalidade, as que delimitam as competências do TCU (art. 71), assim como aquelas que conformam o regime de exploração da atividade econômica do petróleo (art. 177). Não me impressiona o teor da </w:t>
      </w:r>
      <w:hyperlink r:id="rId10" w:history="1">
        <w:r w:rsidRPr="001F495A">
          <w:rPr>
            <w:rFonts w:ascii="Tahoma" w:eastAsia="Times New Roman" w:hAnsi="Tahoma" w:cs="Tahoma"/>
            <w:color w:val="066194"/>
            <w:sz w:val="24"/>
            <w:szCs w:val="24"/>
            <w:u w:val="single"/>
            <w:lang w:eastAsia="pt-BR"/>
          </w:rPr>
          <w:t>Súmula 347</w:t>
        </w:r>
      </w:hyperlink>
      <w:r w:rsidRPr="001F495A">
        <w:rPr>
          <w:rFonts w:ascii="Tahoma" w:eastAsia="Times New Roman" w:hAnsi="Tahoma" w:cs="Tahoma"/>
          <w:color w:val="385260"/>
          <w:sz w:val="24"/>
          <w:szCs w:val="24"/>
          <w:lang w:eastAsia="pt-BR"/>
        </w:rPr>
        <w:t xml:space="preserve"> desta Corte, (...). A referida regra sumular foi </w:t>
      </w:r>
      <w:proofErr w:type="gramStart"/>
      <w:r w:rsidRPr="001F495A">
        <w:rPr>
          <w:rFonts w:ascii="Tahoma" w:eastAsia="Times New Roman" w:hAnsi="Tahoma" w:cs="Tahoma"/>
          <w:color w:val="385260"/>
          <w:sz w:val="24"/>
          <w:szCs w:val="24"/>
          <w:lang w:eastAsia="pt-BR"/>
        </w:rPr>
        <w:t>aprovada</w:t>
      </w:r>
      <w:proofErr w:type="gramEnd"/>
      <w:r w:rsidRPr="001F495A">
        <w:rPr>
          <w:rFonts w:ascii="Tahoma" w:eastAsia="Times New Roman" w:hAnsi="Tahoma" w:cs="Tahoma"/>
          <w:color w:val="385260"/>
          <w:sz w:val="24"/>
          <w:szCs w:val="24"/>
          <w:lang w:eastAsia="pt-BR"/>
        </w:rPr>
        <w:t xml:space="preserve"> na Sessão Plenária de 13.12.1963, num contexto constitucional totalmente diferente do atual. Até o advento da </w:t>
      </w:r>
      <w:hyperlink r:id="rId11" w:history="1">
        <w:r w:rsidRPr="001F495A">
          <w:rPr>
            <w:rFonts w:ascii="Tahoma" w:eastAsia="Times New Roman" w:hAnsi="Tahoma" w:cs="Tahoma"/>
            <w:color w:val="066194"/>
            <w:sz w:val="24"/>
            <w:szCs w:val="24"/>
            <w:u w:val="single"/>
            <w:lang w:eastAsia="pt-BR"/>
          </w:rPr>
          <w:t>Emenda Constitucional 16, de 1965</w:t>
        </w:r>
      </w:hyperlink>
      <w:r w:rsidRPr="001F495A">
        <w:rPr>
          <w:rFonts w:ascii="Tahoma" w:eastAsia="Times New Roman" w:hAnsi="Tahoma" w:cs="Tahoma"/>
          <w:color w:val="385260"/>
          <w:sz w:val="24"/>
          <w:szCs w:val="24"/>
          <w:lang w:eastAsia="pt-BR"/>
        </w:rPr>
        <w:t xml:space="preserve">, que introduziu em nosso sistema o controle abstrato de normas, admitia-se como legítima a recusa, por parte de órgãos </w:t>
      </w:r>
      <w:proofErr w:type="gramStart"/>
      <w:r w:rsidRPr="001F495A">
        <w:rPr>
          <w:rFonts w:ascii="Tahoma" w:eastAsia="Times New Roman" w:hAnsi="Tahoma" w:cs="Tahoma"/>
          <w:color w:val="385260"/>
          <w:sz w:val="24"/>
          <w:szCs w:val="24"/>
          <w:lang w:eastAsia="pt-BR"/>
        </w:rPr>
        <w:t>não-jurisdicionais</w:t>
      </w:r>
      <w:proofErr w:type="gramEnd"/>
      <w:r w:rsidRPr="001F495A">
        <w:rPr>
          <w:rFonts w:ascii="Tahoma" w:eastAsia="Times New Roman" w:hAnsi="Tahoma" w:cs="Tahoma"/>
          <w:color w:val="385260"/>
          <w:sz w:val="24"/>
          <w:szCs w:val="24"/>
          <w:lang w:eastAsia="pt-BR"/>
        </w:rPr>
        <w:t>, à aplicação da lei considerada inconstitucional. No entanto, é preciso levar em conta que o </w:t>
      </w:r>
      <w:hyperlink r:id="rId12" w:history="1">
        <w:r w:rsidRPr="001F495A">
          <w:rPr>
            <w:rFonts w:ascii="Tahoma" w:eastAsia="Times New Roman" w:hAnsi="Tahoma" w:cs="Tahoma"/>
            <w:color w:val="066194"/>
            <w:sz w:val="24"/>
            <w:szCs w:val="24"/>
            <w:u w:val="single"/>
            <w:lang w:eastAsia="pt-BR"/>
          </w:rPr>
          <w:t>texto constitucional de 1988</w:t>
        </w:r>
      </w:hyperlink>
      <w:r w:rsidRPr="001F495A">
        <w:rPr>
          <w:rFonts w:ascii="Tahoma" w:eastAsia="Times New Roman" w:hAnsi="Tahoma" w:cs="Tahoma"/>
          <w:color w:val="385260"/>
          <w:sz w:val="24"/>
          <w:szCs w:val="24"/>
          <w:lang w:eastAsia="pt-BR"/>
        </w:rPr>
        <w:t xml:space="preserve"> introduziu uma mudança radical no nosso sistema de controle de constitucionalidade. Em escritos doutrinários, tenho enfatizado que a ampla legitimação conferida ao controle abstrato, com a inevitável possibilidade de se submeter qualquer questão constitucional ao Supremo Tribunal Federal, operou uma mudança substancial no modelo de controle de constitucionalidade até então vigente no Brasil. Parece quase intuitivo que, ao ampliar, de forma significativa, o círculo de entes e órgãos legitimados a provocar o Supremo Tribunal Federal, no processo de controle abstrato de normas, acabou o constituinte por restringir, de maneira radical, a amplitude do controle difuso de constitucionalidade. A amplitude do direito de propositura faz com que até mesmo pleitos tipicamente individuais sejam submetidos ao Supremo Tribunal Federal mediante ação direta de inconstitucionalidade. Assim, o processo de controle abstrato de </w:t>
      </w:r>
      <w:r w:rsidRPr="001F495A">
        <w:rPr>
          <w:rFonts w:ascii="Tahoma" w:eastAsia="Times New Roman" w:hAnsi="Tahoma" w:cs="Tahoma"/>
          <w:color w:val="385260"/>
          <w:sz w:val="24"/>
          <w:szCs w:val="24"/>
          <w:lang w:eastAsia="pt-BR"/>
        </w:rPr>
        <w:lastRenderedPageBreak/>
        <w:t>normas cumpre entre nós uma dupla função: atua tanto como instrumento de defesa da ordem objetiva, quanto como instrumento de defesa de posições subjetivas. Assim, a própria evolução do sistema de controle de constitucionalidade no Brasil, verificada desde então, está a demonstrar a necessidade de se reavaliar a subsistência da </w:t>
      </w:r>
      <w:hyperlink r:id="rId13" w:history="1">
        <w:r w:rsidRPr="001F495A">
          <w:rPr>
            <w:rFonts w:ascii="Tahoma" w:eastAsia="Times New Roman" w:hAnsi="Tahoma" w:cs="Tahoma"/>
            <w:color w:val="066194"/>
            <w:sz w:val="24"/>
            <w:szCs w:val="24"/>
            <w:u w:val="single"/>
            <w:lang w:eastAsia="pt-BR"/>
          </w:rPr>
          <w:t>Súmula 347 </w:t>
        </w:r>
      </w:hyperlink>
      <w:r w:rsidRPr="001F495A">
        <w:rPr>
          <w:rFonts w:ascii="Tahoma" w:eastAsia="Times New Roman" w:hAnsi="Tahoma" w:cs="Tahoma"/>
          <w:color w:val="385260"/>
          <w:sz w:val="24"/>
          <w:szCs w:val="24"/>
          <w:lang w:eastAsia="pt-BR"/>
        </w:rPr>
        <w:t>em face da ordem constitucional instaurada com a </w:t>
      </w:r>
      <w:hyperlink r:id="rId14" w:history="1">
        <w:r w:rsidRPr="001F495A">
          <w:rPr>
            <w:rFonts w:ascii="Tahoma" w:eastAsia="Times New Roman" w:hAnsi="Tahoma" w:cs="Tahoma"/>
            <w:color w:val="066194"/>
            <w:sz w:val="24"/>
            <w:szCs w:val="24"/>
            <w:u w:val="single"/>
            <w:lang w:eastAsia="pt-BR"/>
          </w:rPr>
          <w:t>Constituição de 1988</w:t>
        </w:r>
      </w:hyperlink>
      <w:r w:rsidRPr="001F495A">
        <w:rPr>
          <w:rFonts w:ascii="Tahoma" w:eastAsia="Times New Roman" w:hAnsi="Tahoma" w:cs="Tahoma"/>
          <w:color w:val="385260"/>
          <w:sz w:val="24"/>
          <w:szCs w:val="24"/>
          <w:lang w:eastAsia="pt-BR"/>
        </w:rPr>
        <w:t>.</w:t>
      </w:r>
    </w:p>
    <w:p w:rsid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t>[</w:t>
      </w:r>
      <w:r>
        <w:rPr>
          <w:rFonts w:ascii="Tahoma" w:eastAsia="Times New Roman" w:hAnsi="Tahoma" w:cs="Tahoma"/>
          <w:color w:val="385260"/>
          <w:sz w:val="24"/>
          <w:szCs w:val="24"/>
          <w:lang w:eastAsia="pt-BR"/>
        </w:rPr>
        <w:t xml:space="preserve">STF - </w:t>
      </w:r>
      <w:hyperlink r:id="rId15" w:tgtFrame="_blank" w:history="1">
        <w:r w:rsidRPr="001F495A">
          <w:rPr>
            <w:rFonts w:ascii="Tahoma" w:eastAsia="Times New Roman" w:hAnsi="Tahoma" w:cs="Tahoma"/>
            <w:b/>
            <w:bCs/>
            <w:color w:val="066194"/>
            <w:sz w:val="24"/>
            <w:szCs w:val="24"/>
            <w:u w:val="single"/>
            <w:lang w:eastAsia="pt-BR"/>
          </w:rPr>
          <w:t>MS 25.888 MC</w:t>
        </w:r>
      </w:hyperlink>
      <w:r w:rsidRPr="001F495A">
        <w:rPr>
          <w:rFonts w:ascii="Tahoma" w:eastAsia="Times New Roman" w:hAnsi="Tahoma" w:cs="Tahoma"/>
          <w:color w:val="385260"/>
          <w:sz w:val="24"/>
          <w:szCs w:val="24"/>
          <w:lang w:eastAsia="pt-BR"/>
        </w:rPr>
        <w:t>, rel. min. </w:t>
      </w:r>
      <w:r w:rsidRPr="001F495A">
        <w:rPr>
          <w:rFonts w:ascii="Tahoma" w:eastAsia="Times New Roman" w:hAnsi="Tahoma" w:cs="Tahoma"/>
          <w:b/>
          <w:bCs/>
          <w:color w:val="385260"/>
          <w:sz w:val="24"/>
          <w:szCs w:val="24"/>
          <w:lang w:eastAsia="pt-BR"/>
        </w:rPr>
        <w:t>Gilmar Mendes</w:t>
      </w:r>
      <w:r w:rsidRPr="001F495A">
        <w:rPr>
          <w:rFonts w:ascii="Tahoma" w:eastAsia="Times New Roman" w:hAnsi="Tahoma" w:cs="Tahoma"/>
          <w:color w:val="385260"/>
          <w:sz w:val="24"/>
          <w:szCs w:val="24"/>
          <w:lang w:eastAsia="pt-BR"/>
        </w:rPr>
        <w:t>, dec. monocrática, j. 22-3-2006, </w:t>
      </w:r>
      <w:r w:rsidRPr="001F495A">
        <w:rPr>
          <w:rFonts w:ascii="Tahoma" w:eastAsia="Times New Roman" w:hAnsi="Tahoma" w:cs="Tahoma"/>
          <w:i/>
          <w:iCs/>
          <w:color w:val="385260"/>
          <w:sz w:val="24"/>
          <w:szCs w:val="24"/>
          <w:lang w:eastAsia="pt-BR"/>
        </w:rPr>
        <w:t>DJ</w:t>
      </w:r>
      <w:r w:rsidRPr="001F495A">
        <w:rPr>
          <w:rFonts w:ascii="Tahoma" w:eastAsia="Times New Roman" w:hAnsi="Tahoma" w:cs="Tahoma"/>
          <w:color w:val="385260"/>
          <w:sz w:val="24"/>
          <w:szCs w:val="24"/>
          <w:lang w:eastAsia="pt-BR"/>
        </w:rPr>
        <w:t> de 29-3-2006.</w:t>
      </w:r>
      <w:proofErr w:type="gramStart"/>
      <w:r w:rsidRPr="001F495A">
        <w:rPr>
          <w:rFonts w:ascii="Tahoma" w:eastAsia="Times New Roman" w:hAnsi="Tahoma" w:cs="Tahoma"/>
          <w:color w:val="385260"/>
          <w:sz w:val="24"/>
          <w:szCs w:val="24"/>
          <w:lang w:eastAsia="pt-BR"/>
        </w:rPr>
        <w:t>]</w:t>
      </w:r>
      <w:proofErr w:type="gramEnd"/>
    </w:p>
    <w:p w:rsid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r>
      <w:r w:rsidRPr="001F495A">
        <w:rPr>
          <w:rFonts w:ascii="Tahoma" w:eastAsia="Times New Roman" w:hAnsi="Tahoma" w:cs="Tahoma"/>
          <w:color w:val="385260"/>
          <w:sz w:val="24"/>
          <w:szCs w:val="24"/>
          <w:lang w:eastAsia="pt-BR"/>
        </w:rPr>
        <w:br/>
      </w:r>
      <w:r w:rsidRPr="001F495A">
        <w:rPr>
          <w:rFonts w:ascii="Tahoma" w:eastAsia="Times New Roman" w:hAnsi="Tahoma" w:cs="Tahoma"/>
          <w:color w:val="385260"/>
          <w:sz w:val="24"/>
          <w:szCs w:val="24"/>
          <w:lang w:eastAsia="pt-BR"/>
        </w:rPr>
        <w:br/>
      </w:r>
      <w:r w:rsidRPr="001F495A">
        <w:rPr>
          <w:rFonts w:ascii="Tahoma" w:eastAsia="Times New Roman" w:hAnsi="Tahoma" w:cs="Tahoma"/>
          <w:b/>
          <w:bCs/>
          <w:color w:val="385260"/>
          <w:sz w:val="24"/>
          <w:szCs w:val="24"/>
          <w:lang w:eastAsia="pt-BR"/>
        </w:rPr>
        <w:t>● Controle de constitucionalidade e Conselho Nacional de Justiça</w:t>
      </w:r>
      <w:r w:rsidRPr="001F495A">
        <w:rPr>
          <w:rFonts w:ascii="Tahoma" w:eastAsia="Times New Roman" w:hAnsi="Tahoma" w:cs="Tahoma"/>
          <w:color w:val="385260"/>
          <w:sz w:val="24"/>
          <w:szCs w:val="24"/>
          <w:lang w:eastAsia="pt-BR"/>
        </w:rPr>
        <w:br/>
      </w:r>
      <w:r w:rsidRPr="001F495A">
        <w:rPr>
          <w:rFonts w:ascii="Tahoma" w:eastAsia="Times New Roman" w:hAnsi="Tahoma" w:cs="Tahoma"/>
          <w:color w:val="385260"/>
          <w:sz w:val="24"/>
          <w:szCs w:val="24"/>
          <w:lang w:eastAsia="pt-BR"/>
        </w:rPr>
        <w:br/>
      </w:r>
      <w:r w:rsidRPr="001F495A">
        <w:rPr>
          <w:rFonts w:ascii="Tahoma" w:eastAsia="Times New Roman" w:hAnsi="Tahoma" w:cs="Tahoma"/>
          <w:color w:val="385260"/>
          <w:sz w:val="24"/>
          <w:szCs w:val="24"/>
          <w:lang w:eastAsia="pt-BR"/>
        </w:rPr>
        <w:br/>
        <w:t xml:space="preserve">Nesses termos, concluída pelo </w:t>
      </w:r>
      <w:r w:rsidRPr="001F495A">
        <w:rPr>
          <w:rFonts w:ascii="Tahoma" w:eastAsia="Times New Roman" w:hAnsi="Tahoma" w:cs="Tahoma"/>
          <w:color w:val="385260"/>
          <w:sz w:val="24"/>
          <w:szCs w:val="24"/>
          <w:highlight w:val="yellow"/>
          <w:lang w:eastAsia="pt-BR"/>
        </w:rPr>
        <w:t>Conselho Nacional de Justiça</w:t>
      </w:r>
      <w:r w:rsidRPr="001F495A">
        <w:rPr>
          <w:rFonts w:ascii="Tahoma" w:eastAsia="Times New Roman" w:hAnsi="Tahoma" w:cs="Tahoma"/>
          <w:color w:val="385260"/>
          <w:sz w:val="24"/>
          <w:szCs w:val="24"/>
          <w:lang w:eastAsia="pt-BR"/>
        </w:rPr>
        <w:t xml:space="preserve"> a </w:t>
      </w:r>
      <w:r w:rsidRPr="001F495A">
        <w:rPr>
          <w:rFonts w:ascii="Tahoma" w:eastAsia="Times New Roman" w:hAnsi="Tahoma" w:cs="Tahoma"/>
          <w:color w:val="385260"/>
          <w:sz w:val="24"/>
          <w:szCs w:val="24"/>
          <w:highlight w:val="cyan"/>
          <w:lang w:eastAsia="pt-BR"/>
        </w:rPr>
        <w:t>apreciação da inconstitucionalidade de lei aproveitada como fundamento de ato submetido ao seu exame</w:t>
      </w:r>
      <w:r w:rsidRPr="001F495A">
        <w:rPr>
          <w:rFonts w:ascii="Tahoma" w:eastAsia="Times New Roman" w:hAnsi="Tahoma" w:cs="Tahoma"/>
          <w:color w:val="385260"/>
          <w:sz w:val="24"/>
          <w:szCs w:val="24"/>
          <w:lang w:eastAsia="pt-BR"/>
        </w:rPr>
        <w:t xml:space="preserve">, poderá esse órgão constitucional de controle do Poder Judiciário valer-se da expedição de ato administrativo formal e expresso, de </w:t>
      </w:r>
      <w:proofErr w:type="gramStart"/>
      <w:r w:rsidRPr="001F495A">
        <w:rPr>
          <w:rFonts w:ascii="Tahoma" w:eastAsia="Times New Roman" w:hAnsi="Tahoma" w:cs="Tahoma"/>
          <w:color w:val="385260"/>
          <w:sz w:val="24"/>
          <w:szCs w:val="24"/>
          <w:lang w:eastAsia="pt-BR"/>
        </w:rPr>
        <w:t>caráter</w:t>
      </w:r>
      <w:proofErr w:type="gramEnd"/>
      <w:r w:rsidRPr="001F495A">
        <w:rPr>
          <w:rFonts w:ascii="Tahoma" w:eastAsia="Times New Roman" w:hAnsi="Tahoma" w:cs="Tahoma"/>
          <w:color w:val="385260"/>
          <w:sz w:val="24"/>
          <w:szCs w:val="24"/>
          <w:lang w:eastAsia="pt-BR"/>
        </w:rPr>
        <w:t xml:space="preserve"> </w:t>
      </w:r>
      <w:proofErr w:type="gramStart"/>
      <w:r w:rsidRPr="001F495A">
        <w:rPr>
          <w:rFonts w:ascii="Tahoma" w:eastAsia="Times New Roman" w:hAnsi="Tahoma" w:cs="Tahoma"/>
          <w:color w:val="385260"/>
          <w:sz w:val="24"/>
          <w:szCs w:val="24"/>
          <w:lang w:eastAsia="pt-BR"/>
        </w:rPr>
        <w:t>normativo</w:t>
      </w:r>
      <w:proofErr w:type="gramEnd"/>
      <w:r w:rsidRPr="001F495A">
        <w:rPr>
          <w:rFonts w:ascii="Tahoma" w:eastAsia="Times New Roman" w:hAnsi="Tahoma" w:cs="Tahoma"/>
          <w:color w:val="385260"/>
          <w:sz w:val="24"/>
          <w:szCs w:val="24"/>
          <w:lang w:eastAsia="pt-BR"/>
        </w:rPr>
        <w:t>, para impor aos órgãos submetidos constitucionalmente à sua atuação fiscalizadora a invalidade de ato administrativo pela inaplicabilidade do texto legal no qual se baseia por contrariar a </w:t>
      </w:r>
      <w:hyperlink r:id="rId16" w:history="1">
        <w:r w:rsidRPr="001F495A">
          <w:rPr>
            <w:rFonts w:ascii="Tahoma" w:eastAsia="Times New Roman" w:hAnsi="Tahoma" w:cs="Tahoma"/>
            <w:color w:val="066194"/>
            <w:sz w:val="24"/>
            <w:szCs w:val="24"/>
            <w:u w:val="single"/>
            <w:lang w:eastAsia="pt-BR"/>
          </w:rPr>
          <w:t>Constituição da República</w:t>
        </w:r>
      </w:hyperlink>
      <w:r w:rsidRPr="001F495A">
        <w:rPr>
          <w:rFonts w:ascii="Tahoma" w:eastAsia="Times New Roman" w:hAnsi="Tahoma" w:cs="Tahoma"/>
          <w:color w:val="385260"/>
          <w:sz w:val="24"/>
          <w:szCs w:val="24"/>
          <w:lang w:eastAsia="pt-BR"/>
        </w:rPr>
        <w:t xml:space="preserve">. (...) 16. O </w:t>
      </w:r>
      <w:r w:rsidRPr="001F495A">
        <w:rPr>
          <w:rFonts w:ascii="Tahoma" w:eastAsia="Times New Roman" w:hAnsi="Tahoma" w:cs="Tahoma"/>
          <w:color w:val="385260"/>
          <w:sz w:val="24"/>
          <w:szCs w:val="24"/>
          <w:highlight w:val="yellow"/>
          <w:lang w:eastAsia="pt-BR"/>
        </w:rPr>
        <w:t>exercício dessa competência implícita</w:t>
      </w:r>
      <w:r w:rsidRPr="001F495A">
        <w:rPr>
          <w:rFonts w:ascii="Tahoma" w:eastAsia="Times New Roman" w:hAnsi="Tahoma" w:cs="Tahoma"/>
          <w:color w:val="385260"/>
          <w:sz w:val="24"/>
          <w:szCs w:val="24"/>
          <w:lang w:eastAsia="pt-BR"/>
        </w:rPr>
        <w:t xml:space="preserve"> do Conselho Nacional de Justiça revela-se na análise de caso concreto por seu Plenário, </w:t>
      </w:r>
      <w:r w:rsidRPr="001F495A">
        <w:rPr>
          <w:rFonts w:ascii="Tahoma" w:eastAsia="Times New Roman" w:hAnsi="Tahoma" w:cs="Tahoma"/>
          <w:color w:val="385260"/>
          <w:sz w:val="24"/>
          <w:szCs w:val="24"/>
          <w:highlight w:val="yellow"/>
          <w:lang w:eastAsia="pt-BR"/>
        </w:rPr>
        <w:t>ficando os efeitos da inconstitucionalidade incidentalmente constatada limitados à causa posta sob sua apreciação</w:t>
      </w:r>
      <w:r w:rsidRPr="001F495A">
        <w:rPr>
          <w:rFonts w:ascii="Tahoma" w:eastAsia="Times New Roman" w:hAnsi="Tahoma" w:cs="Tahoma"/>
          <w:color w:val="385260"/>
          <w:sz w:val="24"/>
          <w:szCs w:val="24"/>
          <w:lang w:eastAsia="pt-BR"/>
        </w:rPr>
        <w:t xml:space="preserve">, </w:t>
      </w:r>
      <w:r w:rsidRPr="001F495A">
        <w:rPr>
          <w:rFonts w:ascii="Tahoma" w:eastAsia="Times New Roman" w:hAnsi="Tahoma" w:cs="Tahoma"/>
          <w:color w:val="385260"/>
          <w:sz w:val="24"/>
          <w:szCs w:val="24"/>
          <w:highlight w:val="cyan"/>
          <w:lang w:eastAsia="pt-BR"/>
        </w:rPr>
        <w:t>salvo</w:t>
      </w:r>
      <w:r w:rsidRPr="001F495A">
        <w:rPr>
          <w:rFonts w:ascii="Tahoma" w:eastAsia="Times New Roman" w:hAnsi="Tahoma" w:cs="Tahoma"/>
          <w:color w:val="385260"/>
          <w:sz w:val="24"/>
          <w:szCs w:val="24"/>
          <w:lang w:eastAsia="pt-BR"/>
        </w:rPr>
        <w:t xml:space="preserve"> </w:t>
      </w:r>
      <w:r w:rsidRPr="001F495A">
        <w:rPr>
          <w:rFonts w:ascii="Tahoma" w:eastAsia="Times New Roman" w:hAnsi="Tahoma" w:cs="Tahoma"/>
          <w:color w:val="385260"/>
          <w:sz w:val="24"/>
          <w:szCs w:val="24"/>
          <w:highlight w:val="yellow"/>
          <w:lang w:eastAsia="pt-BR"/>
        </w:rPr>
        <w:t xml:space="preserve">se </w:t>
      </w:r>
      <w:proofErr w:type="gramStart"/>
      <w:r w:rsidRPr="001F495A">
        <w:rPr>
          <w:rFonts w:ascii="Tahoma" w:eastAsia="Times New Roman" w:hAnsi="Tahoma" w:cs="Tahoma"/>
          <w:color w:val="385260"/>
          <w:sz w:val="24"/>
          <w:szCs w:val="24"/>
          <w:highlight w:val="yellow"/>
          <w:lang w:eastAsia="pt-BR"/>
        </w:rPr>
        <w:t>houver expressa</w:t>
      </w:r>
      <w:proofErr w:type="gramEnd"/>
      <w:r w:rsidRPr="001F495A">
        <w:rPr>
          <w:rFonts w:ascii="Tahoma" w:eastAsia="Times New Roman" w:hAnsi="Tahoma" w:cs="Tahoma"/>
          <w:color w:val="385260"/>
          <w:sz w:val="24"/>
          <w:szCs w:val="24"/>
          <w:highlight w:val="yellow"/>
          <w:lang w:eastAsia="pt-BR"/>
        </w:rPr>
        <w:t xml:space="preserve"> determinação</w:t>
      </w:r>
      <w:r w:rsidRPr="001F495A">
        <w:rPr>
          <w:rFonts w:ascii="Tahoma" w:eastAsia="Times New Roman" w:hAnsi="Tahoma" w:cs="Tahoma"/>
          <w:color w:val="385260"/>
          <w:sz w:val="24"/>
          <w:szCs w:val="24"/>
          <w:lang w:eastAsia="pt-BR"/>
        </w:rPr>
        <w:t xml:space="preserve"> para os órgãos constitucionalmente submetidos à sua esfera de influência afastarem a aplicação da lei reputada inconstitucional.</w:t>
      </w:r>
    </w:p>
    <w:p w:rsidR="001F495A" w:rsidRPr="001F495A" w:rsidRDefault="001F495A" w:rsidP="001F495A">
      <w:pPr>
        <w:shd w:val="clear" w:color="auto" w:fill="FFFFFF"/>
        <w:spacing w:line="240" w:lineRule="auto"/>
        <w:jc w:val="both"/>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br/>
        <w:t>[</w:t>
      </w:r>
      <w:hyperlink r:id="rId17" w:tgtFrame="_blank" w:history="1">
        <w:r w:rsidRPr="001F495A">
          <w:rPr>
            <w:rFonts w:ascii="Tahoma" w:eastAsia="Times New Roman" w:hAnsi="Tahoma" w:cs="Tahoma"/>
            <w:b/>
            <w:bCs/>
            <w:color w:val="066194"/>
            <w:sz w:val="24"/>
            <w:szCs w:val="24"/>
            <w:u w:val="single"/>
            <w:lang w:eastAsia="pt-BR"/>
          </w:rPr>
          <w:t>Pet 4.656</w:t>
        </w:r>
      </w:hyperlink>
      <w:r w:rsidRPr="001F495A">
        <w:rPr>
          <w:rFonts w:ascii="Tahoma" w:eastAsia="Times New Roman" w:hAnsi="Tahoma" w:cs="Tahoma"/>
          <w:color w:val="385260"/>
          <w:sz w:val="24"/>
          <w:szCs w:val="24"/>
          <w:lang w:eastAsia="pt-BR"/>
        </w:rPr>
        <w:t>, rel. min. </w:t>
      </w:r>
      <w:proofErr w:type="spellStart"/>
      <w:r w:rsidRPr="001F495A">
        <w:rPr>
          <w:rFonts w:ascii="Tahoma" w:eastAsia="Times New Roman" w:hAnsi="Tahoma" w:cs="Tahoma"/>
          <w:b/>
          <w:bCs/>
          <w:color w:val="385260"/>
          <w:sz w:val="24"/>
          <w:szCs w:val="24"/>
          <w:lang w:eastAsia="pt-BR"/>
        </w:rPr>
        <w:t>Cármen</w:t>
      </w:r>
      <w:proofErr w:type="spellEnd"/>
      <w:r w:rsidRPr="001F495A">
        <w:rPr>
          <w:rFonts w:ascii="Tahoma" w:eastAsia="Times New Roman" w:hAnsi="Tahoma" w:cs="Tahoma"/>
          <w:b/>
          <w:bCs/>
          <w:color w:val="385260"/>
          <w:sz w:val="24"/>
          <w:szCs w:val="24"/>
          <w:lang w:eastAsia="pt-BR"/>
        </w:rPr>
        <w:t xml:space="preserve"> Lúcia</w:t>
      </w:r>
      <w:r w:rsidRPr="001F495A">
        <w:rPr>
          <w:rFonts w:ascii="Tahoma" w:eastAsia="Times New Roman" w:hAnsi="Tahoma" w:cs="Tahoma"/>
          <w:color w:val="385260"/>
          <w:sz w:val="24"/>
          <w:szCs w:val="24"/>
          <w:lang w:eastAsia="pt-BR"/>
        </w:rPr>
        <w:t>, P, j. 19-12-2016, </w:t>
      </w:r>
      <w:r w:rsidRPr="001F495A">
        <w:rPr>
          <w:rFonts w:ascii="Tahoma" w:eastAsia="Times New Roman" w:hAnsi="Tahoma" w:cs="Tahoma"/>
          <w:i/>
          <w:iCs/>
          <w:color w:val="385260"/>
          <w:sz w:val="24"/>
          <w:szCs w:val="24"/>
          <w:lang w:eastAsia="pt-BR"/>
        </w:rPr>
        <w:t>DJE</w:t>
      </w:r>
      <w:r w:rsidRPr="001F495A">
        <w:rPr>
          <w:rFonts w:ascii="Tahoma" w:eastAsia="Times New Roman" w:hAnsi="Tahoma" w:cs="Tahoma"/>
          <w:color w:val="385260"/>
          <w:sz w:val="24"/>
          <w:szCs w:val="24"/>
          <w:lang w:eastAsia="pt-BR"/>
        </w:rPr>
        <w:t> 278 de 4-12-</w:t>
      </w:r>
      <w:bookmarkStart w:id="1" w:name="_GoBack"/>
      <w:bookmarkEnd w:id="1"/>
      <w:r w:rsidRPr="001F495A">
        <w:rPr>
          <w:rFonts w:ascii="Tahoma" w:eastAsia="Times New Roman" w:hAnsi="Tahoma" w:cs="Tahoma"/>
          <w:color w:val="385260"/>
          <w:sz w:val="24"/>
          <w:szCs w:val="24"/>
          <w:highlight w:val="yellow"/>
          <w:lang w:eastAsia="pt-BR"/>
        </w:rPr>
        <w:t>2017</w:t>
      </w:r>
      <w:r w:rsidRPr="001F495A">
        <w:rPr>
          <w:rFonts w:ascii="Tahoma" w:eastAsia="Times New Roman" w:hAnsi="Tahoma" w:cs="Tahoma"/>
          <w:color w:val="385260"/>
          <w:sz w:val="24"/>
          <w:szCs w:val="24"/>
          <w:lang w:eastAsia="pt-BR"/>
        </w:rPr>
        <w:t>.</w:t>
      </w:r>
      <w:proofErr w:type="gramStart"/>
      <w:r w:rsidRPr="001F495A">
        <w:rPr>
          <w:rFonts w:ascii="Tahoma" w:eastAsia="Times New Roman" w:hAnsi="Tahoma" w:cs="Tahoma"/>
          <w:color w:val="385260"/>
          <w:sz w:val="24"/>
          <w:szCs w:val="24"/>
          <w:lang w:eastAsia="pt-BR"/>
        </w:rPr>
        <w:t>]</w:t>
      </w:r>
      <w:proofErr w:type="gramEnd"/>
    </w:p>
    <w:p w:rsidR="001F495A" w:rsidRPr="001F495A" w:rsidRDefault="001F495A" w:rsidP="001F495A">
      <w:pPr>
        <w:shd w:val="clear" w:color="auto" w:fill="DFE8ED"/>
        <w:spacing w:after="0" w:line="240" w:lineRule="auto"/>
        <w:textAlignment w:val="top"/>
        <w:rPr>
          <w:rFonts w:ascii="Tahoma" w:eastAsia="Times New Roman" w:hAnsi="Tahoma" w:cs="Tahoma"/>
          <w:b/>
          <w:bCs/>
          <w:color w:val="4F81BD"/>
          <w:sz w:val="20"/>
          <w:szCs w:val="20"/>
          <w:lang w:eastAsia="pt-BR"/>
        </w:rPr>
      </w:pPr>
      <w:bookmarkStart w:id="2" w:name="5389"/>
      <w:bookmarkEnd w:id="2"/>
      <w:r w:rsidRPr="001F495A">
        <w:rPr>
          <w:rFonts w:ascii="Tahoma" w:eastAsia="Times New Roman" w:hAnsi="Tahoma" w:cs="Tahoma"/>
          <w:b/>
          <w:bCs/>
          <w:color w:val="4F81BD"/>
          <w:sz w:val="20"/>
          <w:szCs w:val="20"/>
          <w:lang w:eastAsia="pt-BR"/>
        </w:rPr>
        <w:t>Observação</w:t>
      </w:r>
    </w:p>
    <w:p w:rsidR="001F495A" w:rsidRPr="001F495A" w:rsidRDefault="001F495A" w:rsidP="001F495A">
      <w:pPr>
        <w:shd w:val="clear" w:color="auto" w:fill="FFFFFF"/>
        <w:spacing w:line="240" w:lineRule="auto"/>
        <w:textAlignment w:val="top"/>
        <w:rPr>
          <w:rFonts w:ascii="Tahoma" w:eastAsia="Times New Roman" w:hAnsi="Tahoma" w:cs="Tahoma"/>
          <w:color w:val="385260"/>
          <w:sz w:val="24"/>
          <w:szCs w:val="24"/>
          <w:lang w:eastAsia="pt-BR"/>
        </w:rPr>
      </w:pPr>
      <w:r w:rsidRPr="001F495A">
        <w:rPr>
          <w:rFonts w:ascii="Tahoma" w:eastAsia="Times New Roman" w:hAnsi="Tahoma" w:cs="Tahoma"/>
          <w:color w:val="385260"/>
          <w:sz w:val="24"/>
          <w:szCs w:val="24"/>
          <w:lang w:eastAsia="pt-BR"/>
        </w:rPr>
        <w:t>Data de aprovação do enunciado: Sessão Plenária de 13-12-1963</w:t>
      </w:r>
    </w:p>
    <w:p w:rsidR="001F495A" w:rsidRPr="001F495A" w:rsidRDefault="001F495A" w:rsidP="001F495A"/>
    <w:sectPr w:rsidR="001F495A" w:rsidRPr="001F49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5A"/>
    <w:rsid w:val="001F495A"/>
    <w:rsid w:val="00B37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4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F495A"/>
    <w:rPr>
      <w:color w:val="0000FF"/>
      <w:u w:val="single"/>
    </w:rPr>
  </w:style>
  <w:style w:type="character" w:styleId="Forte">
    <w:name w:val="Strong"/>
    <w:basedOn w:val="Fontepargpadro"/>
    <w:uiPriority w:val="22"/>
    <w:qFormat/>
    <w:rsid w:val="001F495A"/>
    <w:rPr>
      <w:b/>
      <w:bCs/>
    </w:rPr>
  </w:style>
  <w:style w:type="character" w:styleId="nfase">
    <w:name w:val="Emphasis"/>
    <w:basedOn w:val="Fontepargpadro"/>
    <w:uiPriority w:val="20"/>
    <w:qFormat/>
    <w:rsid w:val="001F4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4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F495A"/>
    <w:rPr>
      <w:color w:val="0000FF"/>
      <w:u w:val="single"/>
    </w:rPr>
  </w:style>
  <w:style w:type="character" w:styleId="Forte">
    <w:name w:val="Strong"/>
    <w:basedOn w:val="Fontepargpadro"/>
    <w:uiPriority w:val="22"/>
    <w:qFormat/>
    <w:rsid w:val="001F495A"/>
    <w:rPr>
      <w:b/>
      <w:bCs/>
    </w:rPr>
  </w:style>
  <w:style w:type="character" w:styleId="nfase">
    <w:name w:val="Emphasis"/>
    <w:basedOn w:val="Fontepargpadro"/>
    <w:uiPriority w:val="20"/>
    <w:qFormat/>
    <w:rsid w:val="001F4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9144">
      <w:bodyDiv w:val="1"/>
      <w:marLeft w:val="0"/>
      <w:marRight w:val="0"/>
      <w:marTop w:val="0"/>
      <w:marBottom w:val="0"/>
      <w:divBdr>
        <w:top w:val="none" w:sz="0" w:space="0" w:color="auto"/>
        <w:left w:val="none" w:sz="0" w:space="0" w:color="auto"/>
        <w:bottom w:val="none" w:sz="0" w:space="0" w:color="auto"/>
        <w:right w:val="none" w:sz="0" w:space="0" w:color="auto"/>
      </w:divBdr>
      <w:divsChild>
        <w:div w:id="1775899060">
          <w:marLeft w:val="0"/>
          <w:marRight w:val="150"/>
          <w:marTop w:val="0"/>
          <w:marBottom w:val="0"/>
          <w:divBdr>
            <w:top w:val="none" w:sz="0" w:space="0" w:color="auto"/>
            <w:left w:val="none" w:sz="0" w:space="0" w:color="auto"/>
            <w:bottom w:val="none" w:sz="0" w:space="0" w:color="auto"/>
            <w:right w:val="none" w:sz="0" w:space="0" w:color="auto"/>
          </w:divBdr>
        </w:div>
        <w:div w:id="769744483">
          <w:marLeft w:val="600"/>
          <w:marRight w:val="225"/>
          <w:marTop w:val="225"/>
          <w:marBottom w:val="225"/>
          <w:divBdr>
            <w:top w:val="none" w:sz="0" w:space="0" w:color="auto"/>
            <w:left w:val="none" w:sz="0" w:space="0" w:color="auto"/>
            <w:bottom w:val="none" w:sz="0" w:space="0" w:color="auto"/>
            <w:right w:val="none" w:sz="0" w:space="0" w:color="auto"/>
          </w:divBdr>
        </w:div>
        <w:div w:id="383528898">
          <w:marLeft w:val="0"/>
          <w:marRight w:val="150"/>
          <w:marTop w:val="0"/>
          <w:marBottom w:val="0"/>
          <w:divBdr>
            <w:top w:val="none" w:sz="0" w:space="0" w:color="auto"/>
            <w:left w:val="none" w:sz="0" w:space="0" w:color="auto"/>
            <w:bottom w:val="none" w:sz="0" w:space="0" w:color="auto"/>
            <w:right w:val="none" w:sz="0" w:space="0" w:color="auto"/>
          </w:divBdr>
        </w:div>
        <w:div w:id="1013457508">
          <w:marLeft w:val="600"/>
          <w:marRight w:val="225"/>
          <w:marTop w:val="225"/>
          <w:marBottom w:val="225"/>
          <w:divBdr>
            <w:top w:val="none" w:sz="0" w:space="0" w:color="auto"/>
            <w:left w:val="none" w:sz="0" w:space="0" w:color="auto"/>
            <w:bottom w:val="none" w:sz="0" w:space="0" w:color="auto"/>
            <w:right w:val="none" w:sz="0" w:space="0" w:color="auto"/>
          </w:divBdr>
        </w:div>
        <w:div w:id="2045710871">
          <w:marLeft w:val="0"/>
          <w:marRight w:val="150"/>
          <w:marTop w:val="0"/>
          <w:marBottom w:val="0"/>
          <w:divBdr>
            <w:top w:val="none" w:sz="0" w:space="0" w:color="auto"/>
            <w:left w:val="none" w:sz="0" w:space="0" w:color="auto"/>
            <w:bottom w:val="none" w:sz="0" w:space="0" w:color="auto"/>
            <w:right w:val="none" w:sz="0" w:space="0" w:color="auto"/>
          </w:divBdr>
        </w:div>
        <w:div w:id="131336141">
          <w:marLeft w:val="600"/>
          <w:marRight w:val="225"/>
          <w:marTop w:val="225"/>
          <w:marBottom w:val="225"/>
          <w:divBdr>
            <w:top w:val="none" w:sz="0" w:space="0" w:color="auto"/>
            <w:left w:val="none" w:sz="0" w:space="0" w:color="auto"/>
            <w:bottom w:val="none" w:sz="0" w:space="0" w:color="auto"/>
            <w:right w:val="none" w:sz="0" w:space="0" w:color="auto"/>
          </w:divBdr>
        </w:div>
      </w:divsChild>
    </w:div>
    <w:div w:id="1186290439">
      <w:bodyDiv w:val="1"/>
      <w:marLeft w:val="0"/>
      <w:marRight w:val="0"/>
      <w:marTop w:val="0"/>
      <w:marBottom w:val="0"/>
      <w:divBdr>
        <w:top w:val="none" w:sz="0" w:space="0" w:color="auto"/>
        <w:left w:val="none" w:sz="0" w:space="0" w:color="auto"/>
        <w:bottom w:val="none" w:sz="0" w:space="0" w:color="auto"/>
        <w:right w:val="none" w:sz="0" w:space="0" w:color="auto"/>
      </w:divBdr>
      <w:divsChild>
        <w:div w:id="1564680797">
          <w:marLeft w:val="600"/>
          <w:marRight w:val="225"/>
          <w:marTop w:val="225"/>
          <w:marBottom w:val="225"/>
          <w:divBdr>
            <w:top w:val="none" w:sz="0" w:space="0" w:color="auto"/>
            <w:left w:val="none" w:sz="0" w:space="0" w:color="auto"/>
            <w:bottom w:val="none" w:sz="0" w:space="0" w:color="auto"/>
            <w:right w:val="none" w:sz="0" w:space="0" w:color="auto"/>
          </w:divBdr>
        </w:div>
        <w:div w:id="1292132356">
          <w:marLeft w:val="0"/>
          <w:marRight w:val="150"/>
          <w:marTop w:val="0"/>
          <w:marBottom w:val="0"/>
          <w:divBdr>
            <w:top w:val="none" w:sz="0" w:space="0" w:color="auto"/>
            <w:left w:val="none" w:sz="0" w:space="0" w:color="auto"/>
            <w:bottom w:val="none" w:sz="0" w:space="0" w:color="auto"/>
            <w:right w:val="none" w:sz="0" w:space="0" w:color="auto"/>
          </w:divBdr>
        </w:div>
        <w:div w:id="398553191">
          <w:marLeft w:val="600"/>
          <w:marRight w:val="225"/>
          <w:marTop w:val="225"/>
          <w:marBottom w:val="225"/>
          <w:divBdr>
            <w:top w:val="none" w:sz="0" w:space="0" w:color="auto"/>
            <w:left w:val="none" w:sz="0" w:space="0" w:color="auto"/>
            <w:bottom w:val="none" w:sz="0" w:space="0" w:color="auto"/>
            <w:right w:val="none" w:sz="0" w:space="0" w:color="auto"/>
          </w:divBdr>
        </w:div>
      </w:divsChild>
    </w:div>
    <w:div w:id="1688943149">
      <w:bodyDiv w:val="1"/>
      <w:marLeft w:val="0"/>
      <w:marRight w:val="0"/>
      <w:marTop w:val="0"/>
      <w:marBottom w:val="0"/>
      <w:divBdr>
        <w:top w:val="none" w:sz="0" w:space="0" w:color="auto"/>
        <w:left w:val="none" w:sz="0" w:space="0" w:color="auto"/>
        <w:bottom w:val="none" w:sz="0" w:space="0" w:color="auto"/>
        <w:right w:val="none" w:sz="0" w:space="0" w:color="auto"/>
      </w:divBdr>
      <w:divsChild>
        <w:div w:id="1517690673">
          <w:marLeft w:val="600"/>
          <w:marRight w:val="225"/>
          <w:marTop w:val="225"/>
          <w:marBottom w:val="225"/>
          <w:divBdr>
            <w:top w:val="none" w:sz="0" w:space="0" w:color="auto"/>
            <w:left w:val="none" w:sz="0" w:space="0" w:color="auto"/>
            <w:bottom w:val="none" w:sz="0" w:space="0" w:color="auto"/>
            <w:right w:val="none" w:sz="0" w:space="0" w:color="auto"/>
          </w:divBdr>
        </w:div>
        <w:div w:id="425618098">
          <w:marLeft w:val="0"/>
          <w:marRight w:val="150"/>
          <w:marTop w:val="0"/>
          <w:marBottom w:val="0"/>
          <w:divBdr>
            <w:top w:val="none" w:sz="0" w:space="0" w:color="auto"/>
            <w:left w:val="none" w:sz="0" w:space="0" w:color="auto"/>
            <w:bottom w:val="none" w:sz="0" w:space="0" w:color="auto"/>
            <w:right w:val="none" w:sz="0" w:space="0" w:color="auto"/>
          </w:divBdr>
        </w:div>
        <w:div w:id="1351685110">
          <w:marLeft w:val="60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d2745.htm" TargetMode="External"/><Relationship Id="rId13" Type="http://schemas.openxmlformats.org/officeDocument/2006/relationships/hyperlink" Target="http://www.stf.jus.br/portal/jurisprudencia/listarJurisprudencia.asp?s1=347.NUME.%20NAO%20S.FLSV.&amp;base=baseSumul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9478.htm"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stf.jus.br/portal/inteiroTeor/obterInteiroTeor.asp?idDocumento=14164297" TargetMode="External"/><Relationship Id="rId2" Type="http://schemas.microsoft.com/office/2007/relationships/stylesWithEffects" Target="stylesWithEffects.xml"/><Relationship Id="rId16" Type="http://schemas.openxmlformats.org/officeDocument/2006/relationships/hyperlink" Target="http://www.planalto.gov.br/ccivil_03/constituicao/constituicao.htm" TargetMode="External"/><Relationship Id="rId1" Type="http://schemas.openxmlformats.org/officeDocument/2006/relationships/styles" Target="styles.xml"/><Relationship Id="rId6" Type="http://schemas.openxmlformats.org/officeDocument/2006/relationships/hyperlink" Target="http://www.stf.jus.br/portal/jurisprudencia/listarJurisprudencia.asp?s1=%28%28MS+31439+MC+DJE+154%29%29+NAO+S%2EPRES%2E&amp;base=baseMonocraticas&amp;url=http://tinyurl.com/y9xrn6a8" TargetMode="External"/><Relationship Id="rId11" Type="http://schemas.openxmlformats.org/officeDocument/2006/relationships/hyperlink" Target="http://www.planalto.gov.br/ccivil_03/constituicao/emendas/emc_anterior1988/emc16-65.htm" TargetMode="External"/><Relationship Id="rId5" Type="http://schemas.openxmlformats.org/officeDocument/2006/relationships/hyperlink" Target="http://www.stf.jus.br/portal/jurisprudencia/listarJurisprudencia.asp?s1=347.NUME.%20NAO%20S.FLSV.&amp;base=baseSumulas" TargetMode="External"/><Relationship Id="rId15" Type="http://schemas.openxmlformats.org/officeDocument/2006/relationships/hyperlink" Target="http://www.stf.jus.br/portal/jurisprudencia/listarJurisprudencia.asp?s1=%28MS%24%2ESCLA%2E+E+25888%2ENUME%2E%29+NAO+S%2EPRES%2E&amp;base=baseMonocraticas&amp;url=http://tinyurl.com/ac6wykq" TargetMode="External"/><Relationship Id="rId10" Type="http://schemas.openxmlformats.org/officeDocument/2006/relationships/hyperlink" Target="http://www.stf.jus.br/portal/jurisprudencia/listarJurisprudencia.asp?s1=347.NUME.%20NAO%20S.FLSV.&amp;base=baseSumul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8666compilado.htm" TargetMode="External"/><Relationship Id="rId1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4947</Characters>
  <Application>Microsoft Office Word</Application>
  <DocSecurity>0</DocSecurity>
  <Lines>41</Lines>
  <Paragraphs>11</Paragraphs>
  <ScaleCrop>false</ScaleCrop>
  <Company>Microsoft</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dc:creator>
  <cp:lastModifiedBy>DRF</cp:lastModifiedBy>
  <cp:revision>1</cp:revision>
  <dcterms:created xsi:type="dcterms:W3CDTF">2019-08-25T15:01:00Z</dcterms:created>
  <dcterms:modified xsi:type="dcterms:W3CDTF">2019-08-25T15:05:00Z</dcterms:modified>
</cp:coreProperties>
</file>