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61E" w:rsidRDefault="00DE661E" w:rsidP="00DE661E">
      <w:pPr>
        <w:spacing w:after="120"/>
        <w:jc w:val="both"/>
        <w:rPr>
          <w:color w:val="333333"/>
          <w:sz w:val="18"/>
          <w:szCs w:val="18"/>
        </w:rPr>
      </w:pPr>
      <w:bookmarkStart w:id="0" w:name="_GoBack"/>
      <w:bookmarkEnd w:id="0"/>
    </w:p>
    <w:p w:rsidR="00DE661E" w:rsidRDefault="00DE661E" w:rsidP="00DE661E">
      <w:r>
        <w:t xml:space="preserve">Informativo </w:t>
      </w:r>
      <w:proofErr w:type="spellStart"/>
      <w:r>
        <w:t>Jacoby</w:t>
      </w:r>
      <w:proofErr w:type="spellEnd"/>
      <w:r>
        <w:t xml:space="preserve"> – 0</w:t>
      </w:r>
      <w:r>
        <w:t>4</w:t>
      </w:r>
      <w:r>
        <w:t>/07/19</w:t>
      </w:r>
    </w:p>
    <w:p w:rsidR="00DE661E" w:rsidRDefault="00DE661E" w:rsidP="00DE661E">
      <w:pPr>
        <w:spacing w:after="120"/>
        <w:jc w:val="both"/>
        <w:rPr>
          <w:rFonts w:ascii="Palatino Linotype" w:hAnsi="Palatino Linotype" w:cs="Calibri"/>
          <w:color w:val="333333"/>
          <w:sz w:val="20"/>
          <w:szCs w:val="20"/>
        </w:rPr>
      </w:pPr>
    </w:p>
    <w:p w:rsidR="00DE661E" w:rsidRDefault="00DE661E" w:rsidP="00DE661E">
      <w:pPr>
        <w:pStyle w:val="informativotitulo"/>
        <w:shd w:val="clear" w:color="auto" w:fill="990000"/>
        <w:spacing w:before="120" w:after="120"/>
        <w:jc w:val="center"/>
        <w:rPr>
          <w:rFonts w:ascii="Palatino Linotype" w:hAnsi="Palatino Linotype" w:cs="Calibri"/>
          <w:b/>
          <w:bCs/>
          <w:color w:val="FFFFFF"/>
          <w:sz w:val="26"/>
          <w:szCs w:val="26"/>
        </w:rPr>
      </w:pPr>
      <w:r>
        <w:rPr>
          <w:rFonts w:ascii="Palatino Linotype" w:hAnsi="Palatino Linotype" w:cs="Calibri"/>
          <w:b/>
          <w:bCs/>
          <w:caps/>
          <w:color w:val="FFFFFF"/>
          <w:spacing w:val="-4"/>
          <w:sz w:val="26"/>
          <w:szCs w:val="26"/>
        </w:rPr>
        <w:t>TEMA DA </w:t>
      </w:r>
      <w:r>
        <w:rPr>
          <w:b/>
          <w:bCs/>
        </w:rPr>
        <w:t>SEMANA: TERMO DE AJUSTAMENTO DE GESTÃO NA ADMINISTRAÇÃO PÚBLICA</w:t>
      </w:r>
    </w:p>
    <w:p w:rsidR="00DE661E" w:rsidRDefault="00DE661E" w:rsidP="00DE661E">
      <w:pPr>
        <w:pStyle w:val="informativotitulo"/>
        <w:shd w:val="clear" w:color="auto" w:fill="17365D"/>
        <w:spacing w:before="120" w:after="120"/>
        <w:jc w:val="center"/>
        <w:rPr>
          <w:rFonts w:ascii="Palatino Linotype" w:hAnsi="Palatino Linotype" w:cs="Calibri"/>
          <w:b/>
          <w:bCs/>
          <w:color w:val="FFFFFF"/>
          <w:sz w:val="26"/>
          <w:szCs w:val="26"/>
        </w:rPr>
      </w:pPr>
      <w:r>
        <w:rPr>
          <w:rFonts w:ascii="Palatino Linotype" w:hAnsi="Palatino Linotype" w:cs="Calibri"/>
          <w:b/>
          <w:bCs/>
          <w:caps/>
          <w:color w:val="FFFFFF"/>
          <w:sz w:val="26"/>
          <w:szCs w:val="26"/>
        </w:rPr>
        <w:t>JURISPRUDÊNCIA SELEC</w:t>
      </w:r>
      <w:r>
        <w:rPr>
          <w:b/>
          <w:bCs/>
        </w:rPr>
        <w:t>IONADA</w:t>
      </w:r>
    </w:p>
    <w:p w:rsidR="00DE661E" w:rsidRDefault="00DE661E" w:rsidP="00DE661E">
      <w:pPr>
        <w:spacing w:before="80" w:after="80"/>
        <w:ind w:firstLine="709"/>
        <w:jc w:val="both"/>
        <w:rPr>
          <w:rFonts w:ascii="Palatino Linotype" w:hAnsi="Palatino Linotype" w:cs="Calibri"/>
          <w:color w:val="333333"/>
          <w:sz w:val="20"/>
          <w:szCs w:val="20"/>
        </w:rPr>
      </w:pPr>
      <w:r>
        <w:rPr>
          <w:rFonts w:ascii="Palatino Linotype" w:hAnsi="Palatino Linotype" w:cs="Calibri"/>
          <w:color w:val="333333"/>
          <w:sz w:val="20"/>
          <w:szCs w:val="20"/>
        </w:rPr>
        <w:lastRenderedPageBreak/>
        <w:t>Segue abaixo jurisprudência relativa ao tema da semana.</w:t>
      </w:r>
    </w:p>
    <w:p w:rsidR="00DE661E" w:rsidRDefault="00DE661E" w:rsidP="00DE661E">
      <w:pPr>
        <w:jc w:val="both"/>
        <w:rPr>
          <w:rFonts w:ascii="Palatino Linotype" w:hAnsi="Palatino Linotype" w:cs="Calibri"/>
          <w:color w:val="333333"/>
          <w:sz w:val="20"/>
          <w:szCs w:val="20"/>
        </w:rPr>
      </w:pPr>
      <w:r>
        <w:rPr>
          <w:rFonts w:ascii="Palatino Linotype" w:hAnsi="Palatino Linotype" w:cs="Calibri"/>
          <w:b/>
          <w:bCs/>
          <w:color w:val="C00000"/>
          <w:sz w:val="20"/>
          <w:szCs w:val="20"/>
        </w:rPr>
        <w:t>TCU – termo de ajustamento de gestão – vinculação</w:t>
      </w:r>
    </w:p>
    <w:p w:rsidR="00DE661E" w:rsidRDefault="00DE661E" w:rsidP="00DE661E">
      <w:pPr>
        <w:jc w:val="both"/>
        <w:rPr>
          <w:rFonts w:ascii="Palatino Linotype" w:hAnsi="Palatino Linotype" w:cs="Calibri"/>
          <w:color w:val="333333"/>
          <w:sz w:val="20"/>
          <w:szCs w:val="20"/>
        </w:rPr>
      </w:pPr>
      <w:r>
        <w:rPr>
          <w:rFonts w:ascii="Palatino Linotype" w:hAnsi="Palatino Linotype" w:cs="Calibri"/>
          <w:b/>
          <w:bCs/>
          <w:color w:val="333333"/>
          <w:sz w:val="20"/>
          <w:szCs w:val="20"/>
        </w:rPr>
        <w:t>TCU determina: </w:t>
      </w:r>
      <w:r>
        <w:rPr>
          <w:rFonts w:ascii="Palatino Linotype" w:hAnsi="Palatino Linotype" w:cs="Calibri"/>
          <w:color w:val="333333"/>
          <w:sz w:val="20"/>
          <w:szCs w:val="20"/>
        </w:rPr>
        <w:t>“Existindo recursos da União no empreendimento auditado, o TCU não se encontra vinculado a termo de ajustamento de gestão celebrado por outro tribunal de contas com o ente da federação responsável pela execução do objeto”.</w:t>
      </w:r>
    </w:p>
    <w:p w:rsidR="00DE661E" w:rsidRDefault="00DE661E" w:rsidP="00DE661E">
      <w:pPr>
        <w:jc w:val="both"/>
        <w:rPr>
          <w:rFonts w:ascii="Palatino Linotype" w:hAnsi="Palatino Linotype" w:cs="Calibri"/>
          <w:color w:val="333333"/>
          <w:sz w:val="20"/>
          <w:szCs w:val="20"/>
        </w:rPr>
      </w:pPr>
      <w:r>
        <w:rPr>
          <w:rFonts w:ascii="Palatino Linotype" w:hAnsi="Palatino Linotype" w:cs="Calibri"/>
          <w:b/>
          <w:bCs/>
          <w:color w:val="333333"/>
          <w:spacing w:val="-4"/>
          <w:sz w:val="20"/>
          <w:szCs w:val="20"/>
        </w:rPr>
        <w:t>Fonte: </w:t>
      </w:r>
      <w:r>
        <w:rPr>
          <w:rFonts w:ascii="Palatino Linotype" w:hAnsi="Palatino Linotype" w:cs="Calibri"/>
          <w:color w:val="333333"/>
          <w:sz w:val="20"/>
          <w:szCs w:val="20"/>
        </w:rPr>
        <w:t xml:space="preserve">TCU. Acórdão nº 1393/2016 – Plenário. Processo nº 006.067/2016-6. Relator: ministro Benjamin </w:t>
      </w:r>
      <w:proofErr w:type="spellStart"/>
      <w:r>
        <w:rPr>
          <w:rFonts w:ascii="Palatino Linotype" w:hAnsi="Palatino Linotype" w:cs="Calibri"/>
          <w:color w:val="333333"/>
          <w:sz w:val="20"/>
          <w:szCs w:val="20"/>
        </w:rPr>
        <w:t>Zymler</w:t>
      </w:r>
      <w:proofErr w:type="spellEnd"/>
      <w:r>
        <w:rPr>
          <w:rFonts w:ascii="Palatino Linotype" w:hAnsi="Palatino Linotype" w:cs="Calibri"/>
          <w:color w:val="333333"/>
          <w:sz w:val="20"/>
          <w:szCs w:val="20"/>
        </w:rPr>
        <w:t>.</w:t>
      </w:r>
    </w:p>
    <w:p w:rsidR="00DE661E" w:rsidRDefault="00DE661E" w:rsidP="00DE661E">
      <w:pPr>
        <w:spacing w:before="120"/>
        <w:jc w:val="both"/>
        <w:rPr>
          <w:rFonts w:ascii="Palatino Linotype" w:hAnsi="Palatino Linotype" w:cs="Calibri"/>
          <w:color w:val="333333"/>
          <w:sz w:val="20"/>
          <w:szCs w:val="20"/>
        </w:rPr>
      </w:pPr>
      <w:r>
        <w:rPr>
          <w:rFonts w:ascii="Palatino Linotype" w:hAnsi="Palatino Linotype" w:cs="Calibri"/>
          <w:b/>
          <w:bCs/>
          <w:color w:val="C00000"/>
          <w:sz w:val="20"/>
          <w:szCs w:val="20"/>
        </w:rPr>
        <w:t>TCU – termo de ajustamento de conduta – ressarcimento</w:t>
      </w:r>
    </w:p>
    <w:p w:rsidR="00DE661E" w:rsidRDefault="00DE661E" w:rsidP="00DE661E">
      <w:pPr>
        <w:jc w:val="both"/>
        <w:rPr>
          <w:rFonts w:ascii="Palatino Linotype" w:hAnsi="Palatino Linotype" w:cs="Calibri"/>
          <w:color w:val="333333"/>
          <w:sz w:val="20"/>
          <w:szCs w:val="20"/>
        </w:rPr>
      </w:pPr>
      <w:r>
        <w:rPr>
          <w:rFonts w:ascii="Palatino Linotype" w:hAnsi="Palatino Linotype" w:cs="Calibri"/>
          <w:b/>
          <w:bCs/>
          <w:color w:val="333333"/>
          <w:sz w:val="20"/>
          <w:szCs w:val="20"/>
        </w:rPr>
        <w:t>TCU determina: </w:t>
      </w:r>
      <w:r>
        <w:rPr>
          <w:rFonts w:ascii="Palatino Linotype" w:hAnsi="Palatino Linotype" w:cs="Calibri"/>
          <w:color w:val="333333"/>
          <w:sz w:val="20"/>
          <w:szCs w:val="20"/>
        </w:rPr>
        <w:t>“Eventuais recolhimentos ao erário em cumprimento a termo de ajustamento de conduta junto ao Ministério Público não caracterizam bis in idem frente a condenação pelo TCU, uma vez que a devida compensação pode ser realizada na fase de execução do acórdão condenatório, de forma a evitar ressarcimento em duplicidade”.</w:t>
      </w:r>
    </w:p>
    <w:p w:rsidR="00DE661E" w:rsidRDefault="00DE661E" w:rsidP="00DE661E">
      <w:pPr>
        <w:spacing w:after="120"/>
        <w:jc w:val="both"/>
        <w:rPr>
          <w:rFonts w:ascii="Palatino Linotype" w:hAnsi="Palatino Linotype" w:cs="Calibri"/>
          <w:color w:val="333333"/>
          <w:sz w:val="20"/>
          <w:szCs w:val="20"/>
        </w:rPr>
      </w:pPr>
      <w:r>
        <w:rPr>
          <w:rFonts w:ascii="Palatino Linotype" w:hAnsi="Palatino Linotype" w:cs="Calibri"/>
          <w:b/>
          <w:bCs/>
          <w:color w:val="333333"/>
          <w:spacing w:val="-4"/>
          <w:sz w:val="20"/>
          <w:szCs w:val="20"/>
        </w:rPr>
        <w:t>Fonte: </w:t>
      </w:r>
      <w:r>
        <w:rPr>
          <w:rFonts w:ascii="Palatino Linotype" w:hAnsi="Palatino Linotype" w:cs="Calibri"/>
          <w:color w:val="333333"/>
          <w:sz w:val="20"/>
          <w:szCs w:val="20"/>
        </w:rPr>
        <w:t>TCU. Acórdão nº 634/2017 – Plenário. Processo nº 028.346/2011-4. Relator: ministro Vital do Rêgo.</w:t>
      </w:r>
    </w:p>
    <w:p w:rsidR="001C1E24" w:rsidRDefault="001C1E24" w:rsidP="00DE661E">
      <w:pPr>
        <w:spacing w:after="120"/>
        <w:jc w:val="both"/>
        <w:rPr>
          <w:rFonts w:ascii="Palatino Linotype" w:hAnsi="Palatino Linotype" w:cs="Calibri"/>
          <w:color w:val="333333"/>
          <w:sz w:val="20"/>
          <w:szCs w:val="20"/>
        </w:rPr>
      </w:pPr>
    </w:p>
    <w:p w:rsidR="001C1E24" w:rsidRDefault="001C1E24" w:rsidP="00DE661E">
      <w:pPr>
        <w:spacing w:after="120"/>
        <w:jc w:val="both"/>
        <w:rPr>
          <w:rFonts w:ascii="Palatino Linotype" w:hAnsi="Palatino Linotype" w:cs="Calibri"/>
          <w:color w:val="333333"/>
          <w:sz w:val="20"/>
          <w:szCs w:val="20"/>
        </w:rPr>
      </w:pPr>
      <w:r>
        <w:rPr>
          <w:rFonts w:ascii="Palatino Linotype" w:hAnsi="Palatino Linotype" w:cs="Calibri"/>
          <w:color w:val="333333"/>
          <w:sz w:val="20"/>
          <w:szCs w:val="20"/>
        </w:rPr>
        <w:t>--</w:t>
      </w:r>
    </w:p>
    <w:p w:rsidR="001C1E24" w:rsidRDefault="001C1E24" w:rsidP="00DE661E">
      <w:pPr>
        <w:spacing w:after="120"/>
        <w:jc w:val="both"/>
        <w:rPr>
          <w:rFonts w:ascii="Palatino Linotype" w:hAnsi="Palatino Linotype" w:cs="Calibri"/>
          <w:color w:val="333333"/>
          <w:sz w:val="20"/>
          <w:szCs w:val="20"/>
        </w:rPr>
      </w:pPr>
    </w:p>
    <w:p w:rsidR="001C1E24" w:rsidRDefault="001C1E24" w:rsidP="001C1E24">
      <w:r>
        <w:t xml:space="preserve">Informativo </w:t>
      </w:r>
      <w:proofErr w:type="spellStart"/>
      <w:r>
        <w:t>Jacoby</w:t>
      </w:r>
      <w:proofErr w:type="spellEnd"/>
      <w:r>
        <w:t xml:space="preserve"> – 03/07/19</w:t>
      </w:r>
    </w:p>
    <w:p w:rsidR="001C1E24" w:rsidRDefault="001C1E24" w:rsidP="001C1E24">
      <w:pPr>
        <w:pStyle w:val="informativotitulo"/>
        <w:shd w:val="clear" w:color="auto" w:fill="990000"/>
        <w:spacing w:before="120" w:after="120"/>
        <w:jc w:val="center"/>
        <w:rPr>
          <w:rFonts w:ascii="Palatino Linotype" w:hAnsi="Palatino Linotype" w:cs="Calibri"/>
          <w:b/>
          <w:bCs/>
          <w:color w:val="FFFFFF"/>
          <w:sz w:val="26"/>
          <w:szCs w:val="26"/>
        </w:rPr>
      </w:pPr>
      <w:r>
        <w:rPr>
          <w:rFonts w:ascii="Palatino Linotype" w:hAnsi="Palatino Linotype" w:cs="Calibri"/>
          <w:b/>
          <w:bCs/>
          <w:caps/>
          <w:color w:val="FFFFFF"/>
          <w:spacing w:val="-4"/>
          <w:sz w:val="26"/>
          <w:szCs w:val="26"/>
        </w:rPr>
        <w:t>TEMA DA SEMANA: TERMO DE AJUSTAMENTO DE GESTÃO NA ADMINISTRAÇÃO PÚBLICA</w:t>
      </w:r>
    </w:p>
    <w:p w:rsidR="001C1E24" w:rsidRDefault="001C1E24" w:rsidP="001C1E24">
      <w:pPr>
        <w:pStyle w:val="informativotitulo"/>
        <w:shd w:val="clear" w:color="auto" w:fill="17365D"/>
        <w:spacing w:before="120" w:after="120"/>
        <w:jc w:val="center"/>
        <w:rPr>
          <w:rFonts w:ascii="Palatino Linotype" w:hAnsi="Palatino Linotype" w:cs="Calibri"/>
          <w:b/>
          <w:bCs/>
          <w:color w:val="FFFFFF"/>
          <w:sz w:val="26"/>
          <w:szCs w:val="26"/>
        </w:rPr>
      </w:pPr>
      <w:r>
        <w:rPr>
          <w:rFonts w:ascii="Palatino Linotype" w:hAnsi="Palatino Linotype" w:cs="Calibri"/>
          <w:b/>
          <w:bCs/>
          <w:caps/>
          <w:color w:val="FFFFFF"/>
          <w:sz w:val="26"/>
          <w:szCs w:val="26"/>
        </w:rPr>
        <w:t>PERGUNTE AO PROFESSOR</w:t>
      </w:r>
    </w:p>
    <w:p w:rsidR="001C1E24" w:rsidRDefault="001C1E24" w:rsidP="001C1E24">
      <w:pPr>
        <w:spacing w:after="120"/>
        <w:jc w:val="both"/>
        <w:rPr>
          <w:rFonts w:ascii="Times New Roman" w:hAnsi="Times New Roman" w:cs="Times New Roman"/>
          <w:sz w:val="24"/>
          <w:szCs w:val="24"/>
        </w:rPr>
      </w:pPr>
      <w:r>
        <w:rPr>
          <w:rFonts w:ascii="Palatino Linotype" w:hAnsi="Palatino Linotype" w:cs="Calibri"/>
          <w:b/>
          <w:bCs/>
          <w:color w:val="333333"/>
          <w:sz w:val="20"/>
          <w:szCs w:val="20"/>
        </w:rPr>
        <w:t>Pergunta:</w:t>
      </w:r>
      <w:r>
        <w:rPr>
          <w:rFonts w:ascii="Palatino Linotype" w:hAnsi="Palatino Linotype" w:cs="Calibri"/>
          <w:color w:val="333333"/>
          <w:sz w:val="20"/>
          <w:szCs w:val="20"/>
        </w:rPr>
        <w:t> qual outro instrumento é previsto no Decreto nº 9.830/2019 relativo à responsabilização?</w:t>
      </w:r>
    </w:p>
    <w:p w:rsidR="001C1E24" w:rsidRDefault="001C1E24" w:rsidP="001C1E24">
      <w:pPr>
        <w:spacing w:after="120"/>
        <w:jc w:val="both"/>
      </w:pPr>
      <w:r>
        <w:rPr>
          <w:rFonts w:ascii="Palatino Linotype" w:hAnsi="Palatino Linotype" w:cs="Calibri"/>
          <w:b/>
          <w:bCs/>
          <w:color w:val="333333"/>
          <w:sz w:val="20"/>
          <w:szCs w:val="20"/>
        </w:rPr>
        <w:t>Resposta:</w:t>
      </w:r>
      <w:r>
        <w:rPr>
          <w:rFonts w:ascii="Palatino Linotype" w:hAnsi="Palatino Linotype" w:cs="Calibri"/>
          <w:color w:val="333333"/>
          <w:sz w:val="20"/>
          <w:szCs w:val="20"/>
        </w:rPr>
        <w:t> conforme abordado nessa coluna, o Termo de Ajustamento de Gestão é utilizado nas situações em que a decisão do agente tenha sido tomada sem que houvesse dolo ou erro grosseiro. Há situações, porém, em que a ação de um particular gera prejuízo ao erário. Para tanto, a Lei nº 13.655/2018 introduziu dispositivo na Lei de Introdução às Normas do Direito Brasileiro prevendo a compensação. A norma dispõe no art. 27 que “a decisão do processo, nas esferas administrativa, controladora ou judicial, poderá impor compensação por benefícios indevidos ou prejuízos anormais ou injustos resultantes do processo ou da conduta dos envolvidos”.</w:t>
      </w:r>
    </w:p>
    <w:p w:rsidR="001C1E24" w:rsidRDefault="001C1E24" w:rsidP="001C1E24">
      <w:pPr>
        <w:spacing w:after="120"/>
        <w:ind w:firstLine="709"/>
        <w:jc w:val="both"/>
      </w:pPr>
      <w:r>
        <w:rPr>
          <w:rFonts w:ascii="Palatino Linotype" w:hAnsi="Palatino Linotype" w:cs="Calibri"/>
          <w:color w:val="333333"/>
          <w:sz w:val="20"/>
          <w:szCs w:val="20"/>
        </w:rPr>
        <w:t>Com base nessa previsão, o Decreto nº 9.830/2019 regulamentou o dispositivo da seguinte forma:</w:t>
      </w:r>
    </w:p>
    <w:p w:rsidR="001C1E24" w:rsidRDefault="001C1E24" w:rsidP="001C1E24">
      <w:pPr>
        <w:ind w:left="2268"/>
        <w:jc w:val="both"/>
        <w:rPr>
          <w:rFonts w:ascii="Palatino Linotype" w:hAnsi="Palatino Linotype" w:cs="Calibri"/>
          <w:color w:val="333333"/>
          <w:sz w:val="20"/>
          <w:szCs w:val="20"/>
        </w:rPr>
      </w:pPr>
      <w:r>
        <w:rPr>
          <w:rFonts w:ascii="Palatino Linotype" w:hAnsi="Palatino Linotype" w:cs="Calibri"/>
          <w:color w:val="333333"/>
          <w:sz w:val="18"/>
          <w:szCs w:val="18"/>
        </w:rPr>
        <w:t>Art. 9º A decisão do processo administrativo poderá impor diretamente à pessoa obrigada compensação por benefícios indevidos ou prejuízos anormais ou injustos resultantes do processo ou da conduta dos envolvidos, com a finalidade de evitar procedimentos contenciosos de ressarcimento de danos.</w:t>
      </w:r>
    </w:p>
    <w:p w:rsidR="001C1E24" w:rsidRDefault="001C1E24" w:rsidP="001C1E24">
      <w:pPr>
        <w:ind w:left="2268"/>
        <w:jc w:val="both"/>
        <w:rPr>
          <w:rFonts w:ascii="Palatino Linotype" w:hAnsi="Palatino Linotype" w:cs="Calibri"/>
          <w:color w:val="333333"/>
          <w:sz w:val="20"/>
          <w:szCs w:val="20"/>
        </w:rPr>
      </w:pPr>
      <w:r>
        <w:rPr>
          <w:rFonts w:ascii="Palatino Linotype" w:hAnsi="Palatino Linotype" w:cs="Calibri"/>
          <w:color w:val="333333"/>
          <w:sz w:val="18"/>
          <w:szCs w:val="18"/>
        </w:rPr>
        <w:t>§ 1º A decisão do processo administrativo é de competência da autoridade pública, que poderá exigir compensação por benefícios indevidamente fruídos pelo particular ou por prejuízos resultantes do processo ou da conduta do particular.</w:t>
      </w:r>
    </w:p>
    <w:p w:rsidR="001C1E24" w:rsidRDefault="001C1E24" w:rsidP="001C1E24">
      <w:pPr>
        <w:ind w:left="2268"/>
        <w:jc w:val="both"/>
        <w:rPr>
          <w:rFonts w:ascii="Palatino Linotype" w:hAnsi="Palatino Linotype" w:cs="Calibri"/>
          <w:color w:val="333333"/>
          <w:sz w:val="20"/>
          <w:szCs w:val="20"/>
        </w:rPr>
      </w:pPr>
      <w:r>
        <w:rPr>
          <w:rFonts w:ascii="Palatino Linotype" w:hAnsi="Palatino Linotype" w:cs="Calibri"/>
          <w:color w:val="333333"/>
          <w:sz w:val="18"/>
          <w:szCs w:val="18"/>
        </w:rPr>
        <w:t>§ 2º A compensação prevista no caput será motivada na forma do disposto nos art. 2º, art. 3º ou art. 4º e será precedida de manifestação das partes obrigadas sobre seu cabimento, sua forma e, se for o caso, seu valor.1</w:t>
      </w:r>
    </w:p>
    <w:p w:rsidR="001C1E24" w:rsidRDefault="001C1E24" w:rsidP="001C1E24">
      <w:pPr>
        <w:spacing w:before="120" w:after="120"/>
        <w:ind w:firstLine="709"/>
        <w:jc w:val="both"/>
        <w:rPr>
          <w:rFonts w:ascii="Times New Roman" w:hAnsi="Times New Roman" w:cs="Times New Roman"/>
          <w:sz w:val="24"/>
          <w:szCs w:val="24"/>
        </w:rPr>
      </w:pPr>
      <w:r>
        <w:rPr>
          <w:rFonts w:ascii="Palatino Linotype" w:hAnsi="Palatino Linotype" w:cs="Calibri"/>
          <w:color w:val="333333"/>
          <w:sz w:val="20"/>
          <w:szCs w:val="20"/>
        </w:rPr>
        <w:t>A previsão da compensação promove uma busca pela solução de controvérsia ainda no âmbito administrativo, sem a necessidade de se recorrer ao judiciário. Importante destacar que para prevenir ou regular a compensação, poderá ser celebrado compromisso processual entre os envolvidos, conforme estabelecido na LINDB.</w:t>
      </w:r>
    </w:p>
    <w:p w:rsidR="001C1E24" w:rsidRDefault="001C1E24" w:rsidP="001C1E24">
      <w:pPr>
        <w:spacing w:after="120"/>
        <w:jc w:val="both"/>
        <w:rPr>
          <w:color w:val="333333"/>
          <w:sz w:val="18"/>
          <w:szCs w:val="18"/>
        </w:rPr>
      </w:pPr>
      <w:r>
        <w:rPr>
          <w:color w:val="333333"/>
          <w:sz w:val="18"/>
          <w:szCs w:val="18"/>
        </w:rPr>
        <w:t>1 </w:t>
      </w:r>
      <w:r>
        <w:t>BRASIL. Decreto nº 9.830, de 10 de junho de 2019. </w:t>
      </w:r>
      <w:hyperlink r:id="rId4" w:history="1">
        <w:r>
          <w:rPr>
            <w:rStyle w:val="Hyperlink"/>
            <w:b/>
            <w:bCs/>
            <w:color w:val="800080"/>
            <w:sz w:val="18"/>
            <w:szCs w:val="18"/>
          </w:rPr>
          <w:t>Diário Oficial da União</w:t>
        </w:r>
      </w:hyperlink>
      <w:r>
        <w:rPr>
          <w:color w:val="333333"/>
          <w:sz w:val="18"/>
          <w:szCs w:val="18"/>
        </w:rPr>
        <w:t>: seção 1, Brasília, DF, ano 157, nº 111, p. 04-06, 11 jun. 2019.</w:t>
      </w:r>
    </w:p>
    <w:p w:rsidR="001C1E24" w:rsidRDefault="001C1E24" w:rsidP="001C1E24">
      <w:pPr>
        <w:spacing w:after="120"/>
        <w:jc w:val="both"/>
        <w:rPr>
          <w:color w:val="333333"/>
          <w:sz w:val="18"/>
          <w:szCs w:val="18"/>
        </w:rPr>
      </w:pPr>
    </w:p>
    <w:p w:rsidR="001C1E24" w:rsidRDefault="001C1E24" w:rsidP="001C1E24">
      <w:pPr>
        <w:spacing w:after="120"/>
        <w:jc w:val="both"/>
        <w:rPr>
          <w:color w:val="333333"/>
          <w:sz w:val="18"/>
          <w:szCs w:val="18"/>
        </w:rPr>
      </w:pPr>
      <w:r>
        <w:rPr>
          <w:color w:val="333333"/>
          <w:sz w:val="18"/>
          <w:szCs w:val="18"/>
        </w:rPr>
        <w:t>--</w:t>
      </w:r>
    </w:p>
    <w:p w:rsidR="001C1E24" w:rsidRDefault="001C1E24" w:rsidP="00DE661E">
      <w:pPr>
        <w:spacing w:after="120"/>
        <w:jc w:val="both"/>
        <w:rPr>
          <w:rFonts w:ascii="Palatino Linotype" w:hAnsi="Palatino Linotype" w:cs="Calibri"/>
          <w:color w:val="333333"/>
          <w:sz w:val="20"/>
          <w:szCs w:val="20"/>
        </w:rPr>
      </w:pPr>
    </w:p>
    <w:p w:rsidR="001C1E24" w:rsidRDefault="001C1E24" w:rsidP="001C1E24">
      <w:r>
        <w:t xml:space="preserve">Informativo </w:t>
      </w:r>
      <w:proofErr w:type="spellStart"/>
      <w:r>
        <w:t>Jacoby</w:t>
      </w:r>
      <w:proofErr w:type="spellEnd"/>
      <w:r>
        <w:t xml:space="preserve"> – 0</w:t>
      </w:r>
      <w:r>
        <w:t>2</w:t>
      </w:r>
      <w:r>
        <w:t>/07/19</w:t>
      </w:r>
    </w:p>
    <w:p w:rsidR="00DE661E" w:rsidRDefault="00DE661E" w:rsidP="00EF3A89"/>
    <w:p w:rsidR="00DE661E" w:rsidRDefault="00DE661E" w:rsidP="00DE661E">
      <w:pPr>
        <w:pStyle w:val="informativotitulo"/>
        <w:shd w:val="clear" w:color="auto" w:fill="990000"/>
        <w:spacing w:before="120" w:after="120"/>
        <w:jc w:val="center"/>
        <w:rPr>
          <w:rFonts w:ascii="Palatino Linotype" w:hAnsi="Palatino Linotype" w:cs="Calibri"/>
          <w:b/>
          <w:bCs/>
          <w:color w:val="FFFFFF"/>
          <w:sz w:val="26"/>
          <w:szCs w:val="26"/>
        </w:rPr>
      </w:pPr>
      <w:r>
        <w:rPr>
          <w:rFonts w:ascii="Palatino Linotype" w:hAnsi="Palatino Linotype" w:cs="Calibri"/>
          <w:b/>
          <w:bCs/>
          <w:caps/>
          <w:color w:val="FFFFFF"/>
          <w:spacing w:val="-4"/>
          <w:sz w:val="26"/>
          <w:szCs w:val="26"/>
        </w:rPr>
        <w:t>TEMA DA SEMANA: TERMO DE AJUSTAMENTO DE GESTÃO NA ADMINISTRAÇÃO PÚBLICA</w:t>
      </w:r>
    </w:p>
    <w:p w:rsidR="00DE661E" w:rsidRDefault="00DE661E" w:rsidP="00DE661E">
      <w:pPr>
        <w:pStyle w:val="informativotitulo"/>
        <w:shd w:val="clear" w:color="auto" w:fill="17365D"/>
        <w:spacing w:before="120" w:after="120"/>
        <w:jc w:val="center"/>
        <w:rPr>
          <w:rFonts w:ascii="Palatino Linotype" w:hAnsi="Palatino Linotype" w:cs="Calibri"/>
          <w:b/>
          <w:bCs/>
          <w:color w:val="FFFFFF"/>
          <w:sz w:val="26"/>
          <w:szCs w:val="26"/>
        </w:rPr>
      </w:pPr>
      <w:r>
        <w:rPr>
          <w:rFonts w:ascii="Palatino Linotype" w:hAnsi="Palatino Linotype" w:cs="Calibri"/>
          <w:b/>
          <w:bCs/>
          <w:caps/>
          <w:color w:val="FFFFFF"/>
          <w:sz w:val="26"/>
          <w:szCs w:val="26"/>
        </w:rPr>
        <w:t>ESCLARECIMENTO DO PROFESSOR – PARTE II</w:t>
      </w:r>
    </w:p>
    <w:p w:rsidR="00DE661E" w:rsidRDefault="00DE661E" w:rsidP="00DE661E">
      <w:pPr>
        <w:spacing w:after="120"/>
        <w:ind w:firstLine="709"/>
        <w:jc w:val="both"/>
        <w:rPr>
          <w:rFonts w:ascii="Times New Roman" w:hAnsi="Times New Roman" w:cs="Times New Roman"/>
          <w:sz w:val="24"/>
          <w:szCs w:val="24"/>
        </w:rPr>
      </w:pPr>
      <w:r>
        <w:rPr>
          <w:rFonts w:ascii="Palatino Linotype" w:hAnsi="Palatino Linotype" w:cs="Calibri"/>
          <w:color w:val="333333"/>
          <w:sz w:val="20"/>
          <w:szCs w:val="20"/>
        </w:rPr>
        <w:t xml:space="preserve">A previsão da realização do Termo de Ajustamento de Gestão está </w:t>
      </w:r>
      <w:proofErr w:type="gramStart"/>
      <w:r>
        <w:rPr>
          <w:rFonts w:ascii="Palatino Linotype" w:hAnsi="Palatino Linotype" w:cs="Calibri"/>
          <w:color w:val="333333"/>
          <w:sz w:val="20"/>
          <w:szCs w:val="20"/>
        </w:rPr>
        <w:t>previsto</w:t>
      </w:r>
      <w:proofErr w:type="gramEnd"/>
      <w:r>
        <w:rPr>
          <w:rFonts w:ascii="Palatino Linotype" w:hAnsi="Palatino Linotype" w:cs="Calibri"/>
          <w:color w:val="333333"/>
          <w:sz w:val="20"/>
          <w:szCs w:val="20"/>
        </w:rPr>
        <w:t xml:space="preserve"> no Decreto nº 9.830/2019, que regulamentou os trechos incluídos na Lei de Introdução às normas do Direito Brasileiro – LINDB. A Lei nº 13.655/2018, prevê um instrumento para os casos em que não houve a caracterização de dolo ou erro grosseiro. Com base nesta previsão, assim tratou o decreto:</w:t>
      </w:r>
    </w:p>
    <w:p w:rsidR="00DE661E" w:rsidRDefault="00DE661E" w:rsidP="00DE661E">
      <w:pPr>
        <w:ind w:left="2268"/>
        <w:jc w:val="both"/>
        <w:rPr>
          <w:rFonts w:ascii="Palatino Linotype" w:hAnsi="Palatino Linotype" w:cs="Calibri"/>
          <w:color w:val="333333"/>
          <w:sz w:val="20"/>
          <w:szCs w:val="20"/>
        </w:rPr>
      </w:pPr>
      <w:r>
        <w:rPr>
          <w:rFonts w:ascii="Palatino Linotype" w:hAnsi="Palatino Linotype" w:cs="Calibri"/>
          <w:color w:val="333333"/>
          <w:sz w:val="18"/>
          <w:szCs w:val="18"/>
        </w:rPr>
        <w:t>Art. 11. Poderá ser celebrado termo de ajustamento de gestão entre os agentes públicos e os órgãos de controle interno da administração pública com a finalidade de corrigir falhas apontadas em ações de controle, aprimorar procedimentos, assegurar a continuidade da execução do objeto, sempre que possível, e garantir o atendimento do interesse geral.</w:t>
      </w:r>
    </w:p>
    <w:p w:rsidR="00DE661E" w:rsidRDefault="00DE661E" w:rsidP="00DE661E">
      <w:pPr>
        <w:ind w:left="2268"/>
        <w:jc w:val="both"/>
        <w:rPr>
          <w:rFonts w:ascii="Palatino Linotype" w:hAnsi="Palatino Linotype" w:cs="Calibri"/>
          <w:color w:val="333333"/>
          <w:sz w:val="20"/>
          <w:szCs w:val="20"/>
        </w:rPr>
      </w:pPr>
      <w:r>
        <w:rPr>
          <w:rFonts w:ascii="Palatino Linotype" w:hAnsi="Palatino Linotype" w:cs="Calibri"/>
          <w:color w:val="333333"/>
          <w:sz w:val="18"/>
          <w:szCs w:val="18"/>
        </w:rPr>
        <w:t>§ 1º A decisão de celebrar o termo de ajustamento de gestão será motivada na forma do disposto no art. 2º.</w:t>
      </w:r>
    </w:p>
    <w:p w:rsidR="00DE661E" w:rsidRDefault="00DE661E" w:rsidP="00DE661E">
      <w:pPr>
        <w:ind w:left="2268"/>
        <w:jc w:val="both"/>
        <w:rPr>
          <w:rFonts w:ascii="Palatino Linotype" w:hAnsi="Palatino Linotype" w:cs="Calibri"/>
          <w:color w:val="333333"/>
          <w:sz w:val="20"/>
          <w:szCs w:val="20"/>
        </w:rPr>
      </w:pPr>
      <w:r>
        <w:rPr>
          <w:rFonts w:ascii="Palatino Linotype" w:hAnsi="Palatino Linotype" w:cs="Calibri"/>
          <w:color w:val="333333"/>
          <w:sz w:val="18"/>
          <w:szCs w:val="18"/>
        </w:rPr>
        <w:t xml:space="preserve">§ 2º Não será celebrado termo de ajustamento de gestão na hipótese de ocorrência de </w:t>
      </w:r>
      <w:proofErr w:type="spellStart"/>
      <w:r>
        <w:rPr>
          <w:rFonts w:ascii="Palatino Linotype" w:hAnsi="Palatino Linotype" w:cs="Calibri"/>
          <w:color w:val="333333"/>
          <w:sz w:val="18"/>
          <w:szCs w:val="18"/>
        </w:rPr>
        <w:t>dano</w:t>
      </w:r>
      <w:proofErr w:type="spellEnd"/>
      <w:r>
        <w:rPr>
          <w:rFonts w:ascii="Palatino Linotype" w:hAnsi="Palatino Linotype" w:cs="Calibri"/>
          <w:color w:val="333333"/>
          <w:sz w:val="18"/>
          <w:szCs w:val="18"/>
        </w:rPr>
        <w:t xml:space="preserve"> ao erário praticado por agentes públicos que agirem com dolo ou erro grosseiro.</w:t>
      </w:r>
    </w:p>
    <w:p w:rsidR="00DE661E" w:rsidRDefault="00DE661E" w:rsidP="00DE661E">
      <w:pPr>
        <w:ind w:left="2268"/>
        <w:jc w:val="both"/>
        <w:rPr>
          <w:rFonts w:ascii="Palatino Linotype" w:hAnsi="Palatino Linotype" w:cs="Calibri"/>
          <w:color w:val="333333"/>
          <w:sz w:val="20"/>
          <w:szCs w:val="20"/>
        </w:rPr>
      </w:pPr>
      <w:r>
        <w:rPr>
          <w:rFonts w:ascii="Palatino Linotype" w:hAnsi="Palatino Linotype" w:cs="Calibri"/>
          <w:color w:val="333333"/>
          <w:sz w:val="18"/>
          <w:szCs w:val="18"/>
        </w:rPr>
        <w:t>§ 3º A assinatura de termo de ajustamento de gestão será comunicada ao órgão central do sistema de controle interno.1</w:t>
      </w:r>
    </w:p>
    <w:p w:rsidR="00DE661E" w:rsidRDefault="00DE661E" w:rsidP="00DE661E">
      <w:pPr>
        <w:spacing w:after="120"/>
        <w:ind w:firstLine="709"/>
        <w:jc w:val="both"/>
        <w:rPr>
          <w:rFonts w:ascii="Times New Roman" w:hAnsi="Times New Roman" w:cs="Times New Roman"/>
          <w:sz w:val="24"/>
          <w:szCs w:val="24"/>
        </w:rPr>
      </w:pPr>
      <w:r>
        <w:rPr>
          <w:rFonts w:ascii="Palatino Linotype" w:hAnsi="Palatino Linotype" w:cs="Calibri"/>
          <w:color w:val="333333"/>
          <w:sz w:val="20"/>
          <w:szCs w:val="20"/>
        </w:rPr>
        <w:t>A própria Administração, por meio das instâncias de controle interno, tem a capacidade de avaliar a conduta de seu agente e corrigir eventuais desvios sem maiores danos para a garantia da continuidade do objeto. Os serviços públicos devem continuar sendo prestados e a Administração deve buscar os mecanismos para garantir esta continuidade. O Termo de Ajustamento de Gestão, nesse sentido, funciona como verdadeiro elemento produtivo que, além de promover a correção de atos públicos, garante a continuidade da prestação dos serviços, além de ter um excelente caráter pedagógico para aqueles que agiram sem a intenção de prejudicar o Estado.</w:t>
      </w:r>
    </w:p>
    <w:p w:rsidR="00DE661E" w:rsidRDefault="00DE661E" w:rsidP="00DE661E">
      <w:pPr>
        <w:spacing w:after="120"/>
        <w:jc w:val="both"/>
        <w:rPr>
          <w:rFonts w:ascii="Palatino Linotype" w:hAnsi="Palatino Linotype" w:cs="Calibri"/>
          <w:color w:val="333333"/>
          <w:sz w:val="20"/>
          <w:szCs w:val="20"/>
        </w:rPr>
      </w:pPr>
      <w:r>
        <w:rPr>
          <w:color w:val="333333"/>
          <w:sz w:val="18"/>
          <w:szCs w:val="18"/>
        </w:rPr>
        <w:t>1 </w:t>
      </w:r>
      <w:r>
        <w:t>BRASIL. Decreto nº 9.830, de 10 de junho de 2019. </w:t>
      </w:r>
      <w:hyperlink r:id="rId5" w:history="1">
        <w:r>
          <w:rPr>
            <w:rStyle w:val="Hyperlink"/>
            <w:b/>
            <w:bCs/>
            <w:color w:val="800080"/>
            <w:sz w:val="18"/>
            <w:szCs w:val="18"/>
          </w:rPr>
          <w:t>Diário Oficial da União</w:t>
        </w:r>
      </w:hyperlink>
      <w:r>
        <w:rPr>
          <w:color w:val="333333"/>
          <w:sz w:val="18"/>
          <w:szCs w:val="18"/>
        </w:rPr>
        <w:t>: seção 1, Brasília, DF, ano 157, nº 111, p. 04-06, 11 jun. 2019.</w:t>
      </w:r>
    </w:p>
    <w:p w:rsidR="001C1E24" w:rsidRDefault="001C1E24" w:rsidP="00EF3A89"/>
    <w:p w:rsidR="001C1E24" w:rsidRDefault="001C1E24" w:rsidP="00EF3A89">
      <w:r>
        <w:t>--</w:t>
      </w:r>
    </w:p>
    <w:p w:rsidR="001C1E24" w:rsidRDefault="001C1E24" w:rsidP="00EF3A89"/>
    <w:p w:rsidR="001C1E24" w:rsidRDefault="001C1E24" w:rsidP="001C1E24">
      <w:r>
        <w:t xml:space="preserve">Informativo </w:t>
      </w:r>
      <w:proofErr w:type="spellStart"/>
      <w:r>
        <w:t>Jacoby</w:t>
      </w:r>
      <w:proofErr w:type="spellEnd"/>
      <w:r>
        <w:t xml:space="preserve"> – 0</w:t>
      </w:r>
      <w:r>
        <w:t>1</w:t>
      </w:r>
      <w:r>
        <w:t>/07/19</w:t>
      </w:r>
    </w:p>
    <w:p w:rsidR="001C1E24" w:rsidRDefault="001C1E24" w:rsidP="00EF3A89"/>
    <w:p w:rsidR="001C1E24" w:rsidRDefault="001C1E24" w:rsidP="001C1E24">
      <w:pPr>
        <w:pStyle w:val="informativotitulo"/>
        <w:shd w:val="clear" w:color="auto" w:fill="990000"/>
        <w:spacing w:before="120" w:after="120"/>
        <w:jc w:val="center"/>
        <w:rPr>
          <w:rFonts w:ascii="Palatino Linotype" w:hAnsi="Palatino Linotype" w:cs="Calibri"/>
          <w:b/>
          <w:bCs/>
          <w:color w:val="FFFFFF"/>
          <w:sz w:val="26"/>
          <w:szCs w:val="26"/>
        </w:rPr>
      </w:pPr>
      <w:r>
        <w:rPr>
          <w:rFonts w:ascii="Palatino Linotype" w:hAnsi="Palatino Linotype" w:cs="Calibri"/>
          <w:b/>
          <w:bCs/>
          <w:caps/>
          <w:color w:val="FFFFFF"/>
          <w:spacing w:val="-4"/>
          <w:sz w:val="26"/>
          <w:szCs w:val="26"/>
        </w:rPr>
        <w:t>TEMA DA SEMANA: TERMO DE AJUSTAMENTO DE GESTÃO NA ADMINISTRAÇÃO PÚBLICA</w:t>
      </w:r>
    </w:p>
    <w:p w:rsidR="001C1E24" w:rsidRDefault="001C1E24" w:rsidP="001C1E24">
      <w:pPr>
        <w:pStyle w:val="informativotitulo"/>
        <w:shd w:val="clear" w:color="auto" w:fill="17365D"/>
        <w:spacing w:before="120" w:after="120"/>
        <w:jc w:val="center"/>
        <w:rPr>
          <w:rFonts w:ascii="Palatino Linotype" w:hAnsi="Palatino Linotype" w:cs="Calibri"/>
          <w:b/>
          <w:bCs/>
          <w:color w:val="FFFFFF"/>
          <w:sz w:val="26"/>
          <w:szCs w:val="26"/>
        </w:rPr>
      </w:pPr>
      <w:r>
        <w:rPr>
          <w:rFonts w:ascii="Palatino Linotype" w:hAnsi="Palatino Linotype" w:cs="Calibri"/>
          <w:b/>
          <w:bCs/>
          <w:caps/>
          <w:color w:val="FFFFFF"/>
          <w:sz w:val="26"/>
          <w:szCs w:val="26"/>
        </w:rPr>
        <w:t>ESCLARECIMENTO DO PROFESSOR – PARTE I</w:t>
      </w:r>
    </w:p>
    <w:p w:rsidR="001C1E24" w:rsidRDefault="001C1E24" w:rsidP="001C1E24">
      <w:pPr>
        <w:spacing w:after="120"/>
        <w:ind w:firstLine="709"/>
        <w:jc w:val="both"/>
        <w:rPr>
          <w:rFonts w:ascii="Times New Roman" w:hAnsi="Times New Roman" w:cs="Times New Roman"/>
          <w:sz w:val="24"/>
          <w:szCs w:val="24"/>
        </w:rPr>
      </w:pPr>
      <w:r>
        <w:rPr>
          <w:rFonts w:ascii="Palatino Linotype" w:hAnsi="Palatino Linotype" w:cs="Calibri"/>
          <w:color w:val="333333"/>
          <w:sz w:val="20"/>
          <w:szCs w:val="20"/>
        </w:rPr>
        <w:t>Na semana passada, tratou-se com destaque a caracterização do “erro grosseiro”, previsto no decreto que regulamentou os artigos incluídos na Lei de Introdução às Normas do Direito Brasileiro por meio da Lei nº 13.655/2018. Durante esta semana, vamos continuar a explorar pontos do Decreto nº 9.830/2019, mais precisamente em relação à defesa dos servidores.</w:t>
      </w:r>
    </w:p>
    <w:p w:rsidR="001C1E24" w:rsidRDefault="001C1E24" w:rsidP="001C1E24">
      <w:pPr>
        <w:spacing w:after="120"/>
        <w:ind w:firstLine="709"/>
        <w:jc w:val="both"/>
      </w:pPr>
      <w:r>
        <w:rPr>
          <w:rFonts w:ascii="Palatino Linotype" w:hAnsi="Palatino Linotype" w:cs="Calibri"/>
          <w:color w:val="333333"/>
          <w:sz w:val="20"/>
          <w:szCs w:val="20"/>
        </w:rPr>
        <w:t>Um dos pontos trazidos pelo decreto refere-se à autotutela. </w:t>
      </w:r>
      <w:r>
        <w:t>A autotutela, conforme destacado no livro </w:t>
      </w:r>
      <w:hyperlink r:id="rId6" w:history="1">
        <w:r>
          <w:rPr>
            <w:rStyle w:val="Hyperlink"/>
            <w:color w:val="800080"/>
          </w:rPr>
          <w:t>Tribunais de Contas do Brasil – Ed. Fórum – 4ª edição</w:t>
        </w:r>
      </w:hyperlink>
      <w:r>
        <w:t>, constitui uma prerrogativa, dever decorrente do princípio da eficiência, ao qual está jungida toda autoridade pública no sentido de verificar a correção dos atos que pratica ou por cuja função responde.</w:t>
      </w:r>
    </w:p>
    <w:p w:rsidR="001C1E24" w:rsidRDefault="001C1E24" w:rsidP="001C1E24">
      <w:pPr>
        <w:spacing w:after="120"/>
        <w:ind w:firstLine="709"/>
        <w:jc w:val="both"/>
      </w:pPr>
      <w:r>
        <w:rPr>
          <w:rFonts w:ascii="Palatino Linotype" w:hAnsi="Palatino Linotype" w:cs="Calibri"/>
          <w:color w:val="333333"/>
          <w:sz w:val="20"/>
          <w:szCs w:val="20"/>
        </w:rPr>
        <w:t>A Lei nº 13.655/2018 incluiu na Lei de Introdução às Normas do Direito Brasileiro, dispositivo que preceitua que a revisão, nas esferas administrativa, controladora ou judicial, quanto à validade de ato, contrato, ajuste, processo ou norma administrativa cuja produção já se houver completado levará em conta as orientações gerais da época, sendo vedado que, com base em mudança posterior de orientação geral, se declarem inválidas situações plenamente constituídas.</w:t>
      </w:r>
    </w:p>
    <w:p w:rsidR="001C1E24" w:rsidRDefault="001C1E24" w:rsidP="001C1E24">
      <w:pPr>
        <w:spacing w:after="120"/>
        <w:ind w:firstLine="709"/>
        <w:jc w:val="both"/>
      </w:pPr>
      <w:r>
        <w:rPr>
          <w:rFonts w:ascii="Palatino Linotype" w:hAnsi="Palatino Linotype" w:cs="Calibri"/>
          <w:color w:val="333333"/>
          <w:sz w:val="20"/>
          <w:szCs w:val="20"/>
        </w:rPr>
        <w:t xml:space="preserve">Além disso, em relação à responsabilização dos agentes, previu um instrumento para casos em que a decisão do agente tenha sido tomada sem que houvesse dolo ou erro grosseiro: o Termo de Ajustamento de </w:t>
      </w:r>
      <w:proofErr w:type="gramStart"/>
      <w:r>
        <w:rPr>
          <w:rFonts w:ascii="Palatino Linotype" w:hAnsi="Palatino Linotype" w:cs="Calibri"/>
          <w:color w:val="333333"/>
          <w:sz w:val="20"/>
          <w:szCs w:val="20"/>
        </w:rPr>
        <w:t>Gestão .Ao</w:t>
      </w:r>
      <w:proofErr w:type="gramEnd"/>
      <w:r>
        <w:rPr>
          <w:rFonts w:ascii="Palatino Linotype" w:hAnsi="Palatino Linotype" w:cs="Calibri"/>
          <w:color w:val="333333"/>
          <w:sz w:val="20"/>
          <w:szCs w:val="20"/>
        </w:rPr>
        <w:t xml:space="preserve"> longo da semana, serão apresentadas as características desse instrumento.</w:t>
      </w:r>
    </w:p>
    <w:p w:rsidR="001C1E24" w:rsidRDefault="001C1E24" w:rsidP="001C1E24">
      <w:pPr>
        <w:spacing w:after="120"/>
        <w:ind w:firstLine="709"/>
        <w:jc w:val="both"/>
        <w:rPr>
          <w:rFonts w:ascii="Palatino Linotype" w:hAnsi="Palatino Linotype" w:cs="Calibri"/>
          <w:color w:val="333333"/>
          <w:sz w:val="20"/>
          <w:szCs w:val="20"/>
        </w:rPr>
      </w:pPr>
      <w:r>
        <w:rPr>
          <w:rFonts w:ascii="Palatino Linotype" w:hAnsi="Palatino Linotype" w:cs="Calibri"/>
          <w:b/>
          <w:bCs/>
          <w:color w:val="333333"/>
          <w:sz w:val="20"/>
          <w:szCs w:val="20"/>
          <w:shd w:val="clear" w:color="auto" w:fill="FFFF00"/>
        </w:rPr>
        <w:t>Artigo selecionado:</w:t>
      </w:r>
      <w:r>
        <w:rPr>
          <w:rFonts w:ascii="Palatino Linotype" w:hAnsi="Palatino Linotype" w:cs="Calibri"/>
          <w:color w:val="333333"/>
          <w:sz w:val="20"/>
          <w:szCs w:val="20"/>
          <w:shd w:val="clear" w:color="auto" w:fill="FFFFFF"/>
        </w:rPr>
        <w:t> FERRAZ, Luciano.</w:t>
      </w:r>
      <w:hyperlink r:id="rId7" w:history="1">
        <w:r>
          <w:rPr>
            <w:rStyle w:val="Hyperlink"/>
            <w:rFonts w:ascii="Palatino Linotype" w:hAnsi="Palatino Linotype" w:cs="Calibri"/>
            <w:sz w:val="20"/>
            <w:szCs w:val="20"/>
            <w:shd w:val="clear" w:color="auto" w:fill="FFFFFF"/>
          </w:rPr>
          <w:t> Termos de Ajustamento de Gestão (TAG): do sonho à realidade</w:t>
        </w:r>
      </w:hyperlink>
      <w:r>
        <w:rPr>
          <w:rFonts w:ascii="Palatino Linotype" w:hAnsi="Palatino Linotype" w:cs="Calibri"/>
          <w:color w:val="333333"/>
          <w:sz w:val="20"/>
          <w:szCs w:val="20"/>
          <w:shd w:val="clear" w:color="auto" w:fill="FFFFFF"/>
        </w:rPr>
        <w:t>. Revista Brasileira de Direito Público </w:t>
      </w:r>
      <w:r>
        <w:rPr>
          <w:rFonts w:ascii="Palatino Linotype" w:hAnsi="Palatino Linotype" w:cs="Calibri"/>
          <w:color w:val="333333"/>
          <w:sz w:val="20"/>
          <w:szCs w:val="20"/>
          <w:shd w:val="clear" w:color="auto" w:fill="FFFFFF"/>
        </w:rPr>
        <w:softHyphen/>
        <w:t> RBDP, Belo Horizonte, ano 8, n. </w:t>
      </w:r>
      <w:proofErr w:type="gramStart"/>
      <w:r>
        <w:rPr>
          <w:rFonts w:ascii="Palatino Linotype" w:hAnsi="Palatino Linotype" w:cs="Calibri"/>
          <w:color w:val="333333"/>
          <w:sz w:val="20"/>
          <w:szCs w:val="20"/>
          <w:shd w:val="clear" w:color="auto" w:fill="FFFFFF"/>
        </w:rPr>
        <w:t>31,  out</w:t>
      </w:r>
      <w:proofErr w:type="gramEnd"/>
      <w:r>
        <w:rPr>
          <w:rFonts w:ascii="Palatino Linotype" w:hAnsi="Palatino Linotype" w:cs="Calibri"/>
          <w:color w:val="333333"/>
          <w:sz w:val="20"/>
          <w:szCs w:val="20"/>
          <w:shd w:val="clear" w:color="auto" w:fill="FFFFFF"/>
        </w:rPr>
        <w:t>./dez. 2010.</w:t>
      </w:r>
    </w:p>
    <w:p w:rsidR="001C1E24" w:rsidRDefault="001C1E24" w:rsidP="00EF3A89"/>
    <w:p w:rsidR="001C1E24" w:rsidRDefault="001C1E24" w:rsidP="00EF3A89"/>
    <w:sectPr w:rsidR="001C1E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89"/>
    <w:rsid w:val="001C1E24"/>
    <w:rsid w:val="005D6616"/>
    <w:rsid w:val="00DE661E"/>
    <w:rsid w:val="00EF3A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7306"/>
  <w15:chartTrackingRefBased/>
  <w15:docId w15:val="{25093D8F-5660-4790-A78E-E153A1DA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E661E"/>
    <w:rPr>
      <w:color w:val="0000FF"/>
      <w:u w:val="single"/>
    </w:rPr>
  </w:style>
  <w:style w:type="paragraph" w:customStyle="1" w:styleId="informativotitulo">
    <w:name w:val="informativotitulo"/>
    <w:basedOn w:val="Normal"/>
    <w:rsid w:val="00DE661E"/>
    <w:pPr>
      <w:spacing w:after="0"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4071">
      <w:bodyDiv w:val="1"/>
      <w:marLeft w:val="0"/>
      <w:marRight w:val="0"/>
      <w:marTop w:val="0"/>
      <w:marBottom w:val="0"/>
      <w:divBdr>
        <w:top w:val="none" w:sz="0" w:space="0" w:color="auto"/>
        <w:left w:val="none" w:sz="0" w:space="0" w:color="auto"/>
        <w:bottom w:val="none" w:sz="0" w:space="0" w:color="auto"/>
        <w:right w:val="none" w:sz="0" w:space="0" w:color="auto"/>
      </w:divBdr>
    </w:div>
    <w:div w:id="707803287">
      <w:bodyDiv w:val="1"/>
      <w:marLeft w:val="0"/>
      <w:marRight w:val="0"/>
      <w:marTop w:val="0"/>
      <w:marBottom w:val="0"/>
      <w:divBdr>
        <w:top w:val="none" w:sz="0" w:space="0" w:color="auto"/>
        <w:left w:val="none" w:sz="0" w:space="0" w:color="auto"/>
        <w:bottom w:val="none" w:sz="0" w:space="0" w:color="auto"/>
        <w:right w:val="none" w:sz="0" w:space="0" w:color="auto"/>
      </w:divBdr>
    </w:div>
    <w:div w:id="1059355856">
      <w:bodyDiv w:val="1"/>
      <w:marLeft w:val="0"/>
      <w:marRight w:val="0"/>
      <w:marTop w:val="0"/>
      <w:marBottom w:val="0"/>
      <w:divBdr>
        <w:top w:val="none" w:sz="0" w:space="0" w:color="auto"/>
        <w:left w:val="none" w:sz="0" w:space="0" w:color="auto"/>
        <w:bottom w:val="none" w:sz="0" w:space="0" w:color="auto"/>
        <w:right w:val="none" w:sz="0" w:space="0" w:color="auto"/>
      </w:divBdr>
    </w:div>
    <w:div w:id="1314331855">
      <w:bodyDiv w:val="1"/>
      <w:marLeft w:val="0"/>
      <w:marRight w:val="0"/>
      <w:marTop w:val="0"/>
      <w:marBottom w:val="0"/>
      <w:divBdr>
        <w:top w:val="none" w:sz="0" w:space="0" w:color="auto"/>
        <w:left w:val="none" w:sz="0" w:space="0" w:color="auto"/>
        <w:bottom w:val="none" w:sz="0" w:space="0" w:color="auto"/>
        <w:right w:val="none" w:sz="0" w:space="0" w:color="auto"/>
      </w:divBdr>
    </w:div>
    <w:div w:id="1479375743">
      <w:bodyDiv w:val="1"/>
      <w:marLeft w:val="0"/>
      <w:marRight w:val="0"/>
      <w:marTop w:val="0"/>
      <w:marBottom w:val="0"/>
      <w:divBdr>
        <w:top w:val="none" w:sz="0" w:space="0" w:color="auto"/>
        <w:left w:val="none" w:sz="0" w:space="0" w:color="auto"/>
        <w:bottom w:val="none" w:sz="0" w:space="0" w:color="auto"/>
        <w:right w:val="none" w:sz="0" w:space="0" w:color="auto"/>
      </w:divBdr>
      <w:divsChild>
        <w:div w:id="1823041732">
          <w:marLeft w:val="0"/>
          <w:marRight w:val="0"/>
          <w:marTop w:val="0"/>
          <w:marBottom w:val="0"/>
          <w:divBdr>
            <w:top w:val="none" w:sz="0" w:space="0" w:color="auto"/>
            <w:left w:val="none" w:sz="0" w:space="0" w:color="auto"/>
            <w:bottom w:val="none" w:sz="0" w:space="0" w:color="auto"/>
            <w:right w:val="none" w:sz="0" w:space="0" w:color="auto"/>
          </w:divBdr>
          <w:divsChild>
            <w:div w:id="5119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5905">
      <w:bodyDiv w:val="1"/>
      <w:marLeft w:val="0"/>
      <w:marRight w:val="0"/>
      <w:marTop w:val="0"/>
      <w:marBottom w:val="0"/>
      <w:divBdr>
        <w:top w:val="none" w:sz="0" w:space="0" w:color="auto"/>
        <w:left w:val="none" w:sz="0" w:space="0" w:color="auto"/>
        <w:bottom w:val="none" w:sz="0" w:space="0" w:color="auto"/>
        <w:right w:val="none" w:sz="0" w:space="0" w:color="auto"/>
      </w:divBdr>
    </w:div>
    <w:div w:id="21064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ce.mg.gov.br/IMG/Legislacao/legiscont/Artigos%20selecionados/Termos%20de%20Ajustamento%20de%20Gest%C3%A3o%20(TAG)_do%20sonho%20%C3%A0%20realida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coby.pro.br/site/livros/tribunais-de-contas-brasil-4-edicao/" TargetMode="External"/><Relationship Id="rId5" Type="http://schemas.openxmlformats.org/officeDocument/2006/relationships/hyperlink" Target="http://pesquisa.in.gov.br/imprensa/jsp/visualiza/index.jsp?jornal=515&amp;pagina=4&amp;data=11/06/2019" TargetMode="External"/><Relationship Id="rId4" Type="http://schemas.openxmlformats.org/officeDocument/2006/relationships/hyperlink" Target="http://pesquisa.in.gov.br/imprensa/jsp/visualiza/index.jsp?jornal=515&amp;pagina=4&amp;data=11/06/2019"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1184</Words>
  <Characters>6399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RIBEIRO FERREIRA</dc:creator>
  <cp:keywords/>
  <dc:description/>
  <cp:lastModifiedBy>DIOGO RIBEIRO FERREIRA</cp:lastModifiedBy>
  <cp:revision>1</cp:revision>
  <dcterms:created xsi:type="dcterms:W3CDTF">2019-07-04T15:59:00Z</dcterms:created>
  <dcterms:modified xsi:type="dcterms:W3CDTF">2019-07-04T16:30:00Z</dcterms:modified>
</cp:coreProperties>
</file>